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0001535472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ILLUMINA,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001-35406</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5200 ILLUMINA WAY</w:t>
              <w:br/>
              <w:t>SAN DIEGO</w:t>
              <w:br/>
              <w:t xml:space="preserve">CALIFORNIA </w:t>
              <w:br/>
              <w:t>92122</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8582024500</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Corvex Management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Affiliate of Director (1)</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0"/>
        <w:gridCol w:w="1438"/>
        <w:gridCol w:w="1160"/>
        <w:gridCol w:w="1568"/>
        <w:gridCol w:w="1545"/>
        <w:gridCol w:w="1563"/>
        <w:gridCol w:w="1371"/>
      </w:tblGrid>
      <w:tr>
        <w:trPr/>
        <w:tc>
          <w:tcPr>
            <w:tcW w:w="1560" w:type="dxa"/>
            <w:tcBorders/>
            <w:vAlign w:val="center"/>
          </w:tcPr>
          <w:p>
            <w:pPr>
              <w:pStyle w:val="TableHeading"/>
              <w:suppressLineNumbers/>
              <w:bidi w:val="0"/>
              <w:spacing w:before="0" w:after="283"/>
              <w:jc w:val="center"/>
              <w:rPr/>
            </w:pPr>
            <w:r>
              <w:rPr/>
              <w:t>Title of the Class of Securities To Be Sold</w:t>
            </w:r>
          </w:p>
        </w:tc>
        <w:tc>
          <w:tcPr>
            <w:tcW w:w="1438" w:type="dxa"/>
            <w:tcBorders/>
            <w:vAlign w:val="center"/>
          </w:tcPr>
          <w:p>
            <w:pPr>
              <w:pStyle w:val="TableHeading"/>
              <w:suppressLineNumbers/>
              <w:bidi w:val="0"/>
              <w:spacing w:before="0" w:after="283"/>
              <w:jc w:val="center"/>
              <w:rPr/>
            </w:pPr>
            <w:r>
              <w:rPr/>
              <w:t>Name and Address of the Broker</w:t>
            </w:r>
          </w:p>
        </w:tc>
        <w:tc>
          <w:tcPr>
            <w:tcW w:w="1160" w:type="dxa"/>
            <w:tcBorders/>
            <w:vAlign w:val="center"/>
          </w:tcPr>
          <w:p>
            <w:pPr>
              <w:pStyle w:val="TableHeading"/>
              <w:suppressLineNumbers/>
              <w:bidi w:val="0"/>
              <w:spacing w:before="0" w:after="283"/>
              <w:jc w:val="center"/>
              <w:rPr/>
            </w:pPr>
            <w:r>
              <w:rPr/>
              <w:t>Number of Shares or Other Units To Be Sold</w:t>
            </w:r>
          </w:p>
        </w:tc>
        <w:tc>
          <w:tcPr>
            <w:tcW w:w="1568" w:type="dxa"/>
            <w:tcBorders/>
            <w:vAlign w:val="center"/>
          </w:tcPr>
          <w:p>
            <w:pPr>
              <w:pStyle w:val="TableHeading"/>
              <w:suppressLineNumbers/>
              <w:bidi w:val="0"/>
              <w:spacing w:before="0" w:after="283"/>
              <w:jc w:val="center"/>
              <w:rPr/>
            </w:pPr>
            <w:r>
              <w:rPr/>
              <w:t>Aggregate Market Value</w:t>
            </w:r>
          </w:p>
        </w:tc>
        <w:tc>
          <w:tcPr>
            <w:tcW w:w="1545"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1" w:type="dxa"/>
            <w:tcBorders/>
            <w:vAlign w:val="center"/>
          </w:tcPr>
          <w:p>
            <w:pPr>
              <w:pStyle w:val="TableHeading"/>
              <w:suppressLineNumbers/>
              <w:bidi w:val="0"/>
              <w:spacing w:before="0" w:after="283"/>
              <w:jc w:val="center"/>
              <w:rPr/>
            </w:pPr>
            <w:r>
              <w:rPr/>
              <w:t>Name the Securities Exchange</w:t>
            </w:r>
          </w:p>
        </w:tc>
      </w:tr>
      <w:tr>
        <w:trPr/>
        <w:tc>
          <w:tcPr>
            <w:tcW w:w="1560" w:type="dxa"/>
            <w:tcBorders/>
            <w:vAlign w:val="center"/>
          </w:tcPr>
          <w:p>
            <w:pPr>
              <w:pStyle w:val="TableContents"/>
              <w:bidi w:val="0"/>
              <w:spacing w:before="0" w:after="283"/>
              <w:jc w:val="left"/>
              <w:rPr/>
            </w:pPr>
            <w:r>
              <w:rPr/>
              <w:t>Common Stock, par value $0.01 per share</w:t>
            </w:r>
          </w:p>
        </w:tc>
        <w:tc>
          <w:tcPr>
            <w:tcW w:w="1438" w:type="dxa"/>
            <w:tcBorders/>
            <w:vAlign w:val="center"/>
          </w:tcPr>
          <w:p>
            <w:pPr>
              <w:pStyle w:val="TableContents"/>
              <w:bidi w:val="0"/>
              <w:spacing w:before="0" w:after="0"/>
              <w:jc w:val="left"/>
              <w:rPr/>
            </w:pPr>
            <w:r>
              <w:rPr/>
              <w:t>Goldman Sachs &amp; Co. LLC</w:t>
              <w:br/>
              <w:t>200 West Street</w:t>
              <w:br/>
              <w:t>New York   NY   10282</w:t>
            </w:r>
          </w:p>
        </w:tc>
        <w:tc>
          <w:tcPr>
            <w:tcW w:w="1160" w:type="dxa"/>
            <w:tcBorders/>
            <w:vAlign w:val="center"/>
          </w:tcPr>
          <w:p>
            <w:pPr>
              <w:pStyle w:val="TableContents"/>
              <w:bidi w:val="0"/>
              <w:spacing w:before="0" w:after="283"/>
              <w:jc w:val="left"/>
              <w:rPr/>
            </w:pPr>
            <w:r>
              <w:rPr/>
              <w:t>300000</w:t>
            </w:r>
          </w:p>
        </w:tc>
        <w:tc>
          <w:tcPr>
            <w:tcW w:w="1568" w:type="dxa"/>
            <w:tcBorders/>
            <w:vAlign w:val="center"/>
          </w:tcPr>
          <w:p>
            <w:pPr>
              <w:pStyle w:val="TableContents"/>
              <w:bidi w:val="0"/>
              <w:spacing w:before="0" w:after="283"/>
              <w:jc w:val="left"/>
              <w:rPr/>
            </w:pPr>
            <w:r>
              <w:rPr/>
              <w:t>66966000.00</w:t>
            </w:r>
          </w:p>
        </w:tc>
        <w:tc>
          <w:tcPr>
            <w:tcW w:w="1545" w:type="dxa"/>
            <w:tcBorders/>
            <w:vAlign w:val="center"/>
          </w:tcPr>
          <w:p>
            <w:pPr>
              <w:pStyle w:val="TableContents"/>
              <w:bidi w:val="0"/>
              <w:spacing w:before="0" w:after="283"/>
              <w:jc w:val="left"/>
              <w:rPr/>
            </w:pPr>
            <w:r>
              <w:rPr/>
              <w:t>151000000</w:t>
            </w:r>
          </w:p>
        </w:tc>
        <w:tc>
          <w:tcPr>
            <w:tcW w:w="1563" w:type="dxa"/>
            <w:tcBorders/>
            <w:vAlign w:val="center"/>
          </w:tcPr>
          <w:p>
            <w:pPr>
              <w:pStyle w:val="TableContents"/>
              <w:bidi w:val="0"/>
              <w:spacing w:before="0" w:after="283"/>
              <w:jc w:val="left"/>
              <w:rPr/>
            </w:pPr>
            <w:r>
              <w:rPr/>
              <w:t>08/25/2026</w:t>
            </w:r>
          </w:p>
        </w:tc>
        <w:tc>
          <w:tcPr>
            <w:tcW w:w="1371" w:type="dxa"/>
            <w:tcBorders/>
            <w:vAlign w:val="center"/>
          </w:tcPr>
          <w:p>
            <w:pPr>
              <w:pStyle w:val="TableContents"/>
              <w:bidi w:val="0"/>
              <w:spacing w:before="0" w:after="0"/>
              <w:jc w:val="left"/>
              <w:rPr/>
            </w:pPr>
            <w:r>
              <w:rPr/>
              <w:t>Nasdaq Stock Market</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7"/>
        <w:gridCol w:w="1112"/>
        <w:gridCol w:w="1447"/>
        <w:gridCol w:w="1517"/>
        <w:gridCol w:w="520"/>
        <w:gridCol w:w="1112"/>
        <w:gridCol w:w="1162"/>
        <w:gridCol w:w="1054"/>
        <w:gridCol w:w="1174"/>
      </w:tblGrid>
      <w:tr>
        <w:trPr/>
        <w:tc>
          <w:tcPr>
            <w:tcW w:w="1107" w:type="dxa"/>
            <w:tcBorders/>
            <w:vAlign w:val="center"/>
          </w:tcPr>
          <w:p>
            <w:pPr>
              <w:pStyle w:val="TableHeading"/>
              <w:suppressLineNumbers/>
              <w:bidi w:val="0"/>
              <w:spacing w:before="0" w:after="283"/>
              <w:jc w:val="center"/>
              <w:rPr/>
            </w:pPr>
            <w:r>
              <w:rPr/>
              <w:t>Title of the Class</w:t>
            </w:r>
          </w:p>
        </w:tc>
        <w:tc>
          <w:tcPr>
            <w:tcW w:w="1112" w:type="dxa"/>
            <w:tcBorders/>
            <w:vAlign w:val="center"/>
          </w:tcPr>
          <w:p>
            <w:pPr>
              <w:pStyle w:val="TableHeading"/>
              <w:suppressLineNumbers/>
              <w:bidi w:val="0"/>
              <w:spacing w:before="0" w:after="283"/>
              <w:jc w:val="center"/>
              <w:rPr/>
            </w:pPr>
            <w:r>
              <w:rPr/>
              <w:t>Date you Acquired</w:t>
            </w:r>
          </w:p>
        </w:tc>
        <w:tc>
          <w:tcPr>
            <w:tcW w:w="1447" w:type="dxa"/>
            <w:tcBorders/>
            <w:vAlign w:val="center"/>
          </w:tcPr>
          <w:p>
            <w:pPr>
              <w:pStyle w:val="TableHeading"/>
              <w:suppressLineNumbers/>
              <w:bidi w:val="0"/>
              <w:spacing w:before="0" w:after="283"/>
              <w:jc w:val="center"/>
              <w:rPr/>
            </w:pPr>
            <w:r>
              <w:rPr/>
              <w:t>Nature of Acquisition Transaction</w:t>
            </w:r>
          </w:p>
        </w:tc>
        <w:tc>
          <w:tcPr>
            <w:tcW w:w="1517" w:type="dxa"/>
            <w:tcBorders/>
            <w:vAlign w:val="center"/>
          </w:tcPr>
          <w:p>
            <w:pPr>
              <w:pStyle w:val="TableHeading"/>
              <w:suppressLineNumbers/>
              <w:bidi w:val="0"/>
              <w:spacing w:before="0" w:after="283"/>
              <w:jc w:val="center"/>
              <w:rPr/>
            </w:pPr>
            <w:r>
              <w:rPr/>
              <w:t>Name of Person from Whom Acquired</w:t>
            </w:r>
          </w:p>
        </w:tc>
        <w:tc>
          <w:tcPr>
            <w:tcW w:w="520" w:type="dxa"/>
            <w:tcBorders/>
            <w:vAlign w:val="center"/>
          </w:tcPr>
          <w:p>
            <w:pPr>
              <w:pStyle w:val="TableHeading"/>
              <w:suppressLineNumbers/>
              <w:bidi w:val="0"/>
              <w:spacing w:before="0" w:after="283"/>
              <w:jc w:val="center"/>
              <w:rPr/>
            </w:pPr>
            <w:r>
              <w:rPr/>
              <w:t>Is this a Gift?</w:t>
            </w:r>
          </w:p>
        </w:tc>
        <w:tc>
          <w:tcPr>
            <w:tcW w:w="1112" w:type="dxa"/>
            <w:tcBorders/>
            <w:vAlign w:val="center"/>
          </w:tcPr>
          <w:p>
            <w:pPr>
              <w:pStyle w:val="TableHeading"/>
              <w:suppressLineNumbers/>
              <w:bidi w:val="0"/>
              <w:spacing w:before="0" w:after="283"/>
              <w:jc w:val="center"/>
              <w:rPr/>
            </w:pPr>
            <w:r>
              <w:rPr/>
              <w:t>Date Donor Acquired</w:t>
            </w:r>
          </w:p>
        </w:tc>
        <w:tc>
          <w:tcPr>
            <w:tcW w:w="1162" w:type="dxa"/>
            <w:tcBorders/>
            <w:vAlign w:val="center"/>
          </w:tcPr>
          <w:p>
            <w:pPr>
              <w:pStyle w:val="TableHeading"/>
              <w:suppressLineNumbers/>
              <w:bidi w:val="0"/>
              <w:spacing w:before="0" w:after="283"/>
              <w:jc w:val="center"/>
              <w:rPr/>
            </w:pPr>
            <w:r>
              <w:rPr/>
              <w:t>Amount of Securities Acquired</w:t>
            </w:r>
          </w:p>
        </w:tc>
        <w:tc>
          <w:tcPr>
            <w:tcW w:w="1054" w:type="dxa"/>
            <w:tcBorders/>
            <w:vAlign w:val="center"/>
          </w:tcPr>
          <w:p>
            <w:pPr>
              <w:pStyle w:val="TableHeading"/>
              <w:suppressLineNumbers/>
              <w:bidi w:val="0"/>
              <w:spacing w:before="0" w:after="283"/>
              <w:jc w:val="center"/>
              <w:rPr/>
            </w:pPr>
            <w:r>
              <w:rPr/>
              <w:t>Date of Payment</w:t>
            </w:r>
          </w:p>
        </w:tc>
        <w:tc>
          <w:tcPr>
            <w:tcW w:w="117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7" w:type="dxa"/>
            <w:tcBorders/>
            <w:vAlign w:val="center"/>
          </w:tcPr>
          <w:p>
            <w:pPr>
              <w:pStyle w:val="TableContents"/>
              <w:bidi w:val="0"/>
              <w:spacing w:before="0" w:after="283"/>
              <w:jc w:val="left"/>
              <w:rPr/>
            </w:pPr>
            <w:r>
              <w:rPr/>
              <w:t>Common Stock, par value $0.01 per share</w:t>
            </w:r>
          </w:p>
        </w:tc>
        <w:tc>
          <w:tcPr>
            <w:tcW w:w="1112" w:type="dxa"/>
            <w:tcBorders/>
            <w:vAlign w:val="center"/>
          </w:tcPr>
          <w:p>
            <w:pPr>
              <w:pStyle w:val="TableContents"/>
              <w:bidi w:val="0"/>
              <w:spacing w:before="0" w:after="283"/>
              <w:jc w:val="left"/>
              <w:rPr/>
            </w:pPr>
            <w:r>
              <w:rPr/>
              <w:t>10/25/2023</w:t>
            </w:r>
          </w:p>
        </w:tc>
        <w:tc>
          <w:tcPr>
            <w:tcW w:w="1447" w:type="dxa"/>
            <w:tcBorders/>
            <w:vAlign w:val="center"/>
          </w:tcPr>
          <w:p>
            <w:pPr>
              <w:pStyle w:val="TableContents"/>
              <w:bidi w:val="0"/>
              <w:spacing w:before="0" w:after="283"/>
              <w:jc w:val="left"/>
              <w:rPr/>
            </w:pPr>
            <w:r>
              <w:rPr/>
              <w:t>Purchases of shares of Common Stock in the open market (2)</w:t>
            </w:r>
          </w:p>
        </w:tc>
        <w:tc>
          <w:tcPr>
            <w:tcW w:w="1517" w:type="dxa"/>
            <w:tcBorders/>
            <w:vAlign w:val="center"/>
          </w:tcPr>
          <w:p>
            <w:pPr>
              <w:pStyle w:val="TableContents"/>
              <w:bidi w:val="0"/>
              <w:spacing w:before="0" w:after="283"/>
              <w:jc w:val="left"/>
              <w:rPr/>
            </w:pPr>
            <w:r>
              <w:rPr/>
              <w:t>Purchases from counterparties in open market transactions</w:t>
            </w:r>
          </w:p>
        </w:tc>
        <w:tc>
          <w:tcPr>
            <w:tcW w:w="520"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pPr>
            <w:r>
              <w:rPr/>
              <w:t>300000</w:t>
            </w:r>
          </w:p>
        </w:tc>
        <w:tc>
          <w:tcPr>
            <w:tcW w:w="1054" w:type="dxa"/>
            <w:tcBorders/>
            <w:vAlign w:val="center"/>
          </w:tcPr>
          <w:p>
            <w:pPr>
              <w:pStyle w:val="TableContents"/>
              <w:bidi w:val="0"/>
              <w:spacing w:before="0" w:after="283"/>
              <w:jc w:val="left"/>
              <w:rPr/>
            </w:pPr>
            <w:r>
              <w:rPr/>
              <w:t>10/25/2023</w:t>
            </w:r>
          </w:p>
        </w:tc>
        <w:tc>
          <w:tcPr>
            <w:tcW w:w="117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6"/>
        <w:gridCol w:w="2829"/>
        <w:gridCol w:w="922"/>
        <w:gridCol w:w="1531"/>
        <w:gridCol w:w="1897"/>
      </w:tblGrid>
      <w:tr>
        <w:trPr/>
        <w:tc>
          <w:tcPr>
            <w:tcW w:w="3026" w:type="dxa"/>
            <w:tcBorders/>
            <w:vAlign w:val="center"/>
          </w:tcPr>
          <w:p>
            <w:pPr>
              <w:pStyle w:val="TableHeading"/>
              <w:suppressLineNumbers/>
              <w:bidi w:val="0"/>
              <w:spacing w:before="0" w:after="283"/>
              <w:jc w:val="center"/>
              <w:rPr/>
            </w:pPr>
            <w:r>
              <w:rPr/>
              <w:t>Name and Address of Seller</w:t>
            </w:r>
          </w:p>
        </w:tc>
        <w:tc>
          <w:tcPr>
            <w:tcW w:w="2829" w:type="dxa"/>
            <w:tcBorders/>
            <w:vAlign w:val="center"/>
          </w:tcPr>
          <w:p>
            <w:pPr>
              <w:pStyle w:val="TableHeading"/>
              <w:suppressLineNumbers/>
              <w:bidi w:val="0"/>
              <w:spacing w:before="0" w:after="283"/>
              <w:jc w:val="center"/>
              <w:rPr/>
            </w:pPr>
            <w:r>
              <w:rPr/>
              <w:t>Title of Securities Sold</w:t>
            </w:r>
          </w:p>
        </w:tc>
        <w:tc>
          <w:tcPr>
            <w:tcW w:w="922" w:type="dxa"/>
            <w:tcBorders/>
            <w:vAlign w:val="center"/>
          </w:tcPr>
          <w:p>
            <w:pPr>
              <w:pStyle w:val="TableHeading"/>
              <w:suppressLineNumbers/>
              <w:bidi w:val="0"/>
              <w:spacing w:before="0" w:after="283"/>
              <w:jc w:val="center"/>
              <w:rPr/>
            </w:pPr>
            <w:r>
              <w:rPr/>
              <w:t>Date of Sale</w:t>
            </w:r>
          </w:p>
        </w:tc>
        <w:tc>
          <w:tcPr>
            <w:tcW w:w="1531" w:type="dxa"/>
            <w:tcBorders/>
            <w:vAlign w:val="center"/>
          </w:tcPr>
          <w:p>
            <w:pPr>
              <w:pStyle w:val="TableHeading"/>
              <w:suppressLineNumbers/>
              <w:bidi w:val="0"/>
              <w:spacing w:before="0" w:after="283"/>
              <w:jc w:val="center"/>
              <w:rPr/>
            </w:pPr>
            <w:r>
              <w:rPr/>
              <w:t>Amount of Securities Sold</w:t>
            </w:r>
          </w:p>
        </w:tc>
        <w:tc>
          <w:tcPr>
            <w:tcW w:w="1897" w:type="dxa"/>
            <w:tcBorders/>
            <w:vAlign w:val="center"/>
          </w:tcPr>
          <w:p>
            <w:pPr>
              <w:pStyle w:val="TableHeading"/>
              <w:suppressLineNumbers/>
              <w:bidi w:val="0"/>
              <w:spacing w:before="0" w:after="283"/>
              <w:jc w:val="center"/>
              <w:rPr/>
            </w:pPr>
            <w:r>
              <w:rPr/>
              <w:t>Gross Proceeds</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05/28/2026</w:t>
            </w:r>
          </w:p>
        </w:tc>
        <w:tc>
          <w:tcPr>
            <w:tcW w:w="1531" w:type="dxa"/>
            <w:tcBorders/>
            <w:vAlign w:val="center"/>
          </w:tcPr>
          <w:p>
            <w:pPr>
              <w:pStyle w:val="TableContents"/>
              <w:bidi w:val="0"/>
              <w:spacing w:before="0" w:after="283"/>
              <w:jc w:val="left"/>
              <w:rPr/>
            </w:pPr>
            <w:r>
              <w:rPr/>
              <w:t>220000</w:t>
            </w:r>
          </w:p>
        </w:tc>
        <w:tc>
          <w:tcPr>
            <w:tcW w:w="1897" w:type="dxa"/>
            <w:tcBorders/>
            <w:vAlign w:val="center"/>
          </w:tcPr>
          <w:p>
            <w:pPr>
              <w:pStyle w:val="TableContents"/>
              <w:bidi w:val="0"/>
              <w:spacing w:before="0" w:after="283"/>
              <w:jc w:val="left"/>
              <w:rPr/>
            </w:pPr>
            <w:r>
              <w:rPr/>
              <w:t>34686783.32</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05/29/2026</w:t>
            </w:r>
          </w:p>
        </w:tc>
        <w:tc>
          <w:tcPr>
            <w:tcW w:w="1531" w:type="dxa"/>
            <w:tcBorders/>
            <w:vAlign w:val="center"/>
          </w:tcPr>
          <w:p>
            <w:pPr>
              <w:pStyle w:val="TableContents"/>
              <w:bidi w:val="0"/>
              <w:spacing w:before="0" w:after="283"/>
              <w:jc w:val="left"/>
              <w:rPr/>
            </w:pPr>
            <w:r>
              <w:rPr/>
              <w:t>214596</w:t>
            </w:r>
          </w:p>
        </w:tc>
        <w:tc>
          <w:tcPr>
            <w:tcW w:w="1897" w:type="dxa"/>
            <w:tcBorders/>
            <w:vAlign w:val="center"/>
          </w:tcPr>
          <w:p>
            <w:pPr>
              <w:pStyle w:val="TableContents"/>
              <w:bidi w:val="0"/>
              <w:spacing w:before="0" w:after="283"/>
              <w:jc w:val="left"/>
              <w:rPr/>
            </w:pPr>
            <w:r>
              <w:rPr/>
              <w:t>35088672.43</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06/01/2026</w:t>
            </w:r>
          </w:p>
        </w:tc>
        <w:tc>
          <w:tcPr>
            <w:tcW w:w="1531" w:type="dxa"/>
            <w:tcBorders/>
            <w:vAlign w:val="center"/>
          </w:tcPr>
          <w:p>
            <w:pPr>
              <w:pStyle w:val="TableContents"/>
              <w:bidi w:val="0"/>
              <w:spacing w:before="0" w:after="283"/>
              <w:jc w:val="left"/>
              <w:rPr/>
            </w:pPr>
            <w:r>
              <w:rPr/>
              <w:t>235000</w:t>
            </w:r>
          </w:p>
        </w:tc>
        <w:tc>
          <w:tcPr>
            <w:tcW w:w="1897" w:type="dxa"/>
            <w:tcBorders/>
            <w:vAlign w:val="center"/>
          </w:tcPr>
          <w:p>
            <w:pPr>
              <w:pStyle w:val="TableContents"/>
              <w:bidi w:val="0"/>
              <w:spacing w:before="0" w:after="283"/>
              <w:jc w:val="left"/>
              <w:rPr/>
            </w:pPr>
            <w:r>
              <w:rPr/>
              <w:t>38454606.87</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08/04/2026</w:t>
            </w:r>
          </w:p>
        </w:tc>
        <w:tc>
          <w:tcPr>
            <w:tcW w:w="1531" w:type="dxa"/>
            <w:tcBorders/>
            <w:vAlign w:val="center"/>
          </w:tcPr>
          <w:p>
            <w:pPr>
              <w:pStyle w:val="TableContents"/>
              <w:bidi w:val="0"/>
              <w:spacing w:before="0" w:after="283"/>
              <w:jc w:val="left"/>
              <w:rPr/>
            </w:pPr>
            <w:r>
              <w:rPr/>
              <w:t>457858</w:t>
            </w:r>
          </w:p>
        </w:tc>
        <w:tc>
          <w:tcPr>
            <w:tcW w:w="1897" w:type="dxa"/>
            <w:tcBorders/>
            <w:vAlign w:val="center"/>
          </w:tcPr>
          <w:p>
            <w:pPr>
              <w:pStyle w:val="TableContents"/>
              <w:bidi w:val="0"/>
              <w:spacing w:before="0" w:after="283"/>
              <w:jc w:val="left"/>
              <w:rPr/>
            </w:pPr>
            <w:r>
              <w:rPr/>
              <w:t>91616949.73</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08/05/2026</w:t>
            </w:r>
          </w:p>
        </w:tc>
        <w:tc>
          <w:tcPr>
            <w:tcW w:w="1531" w:type="dxa"/>
            <w:tcBorders/>
            <w:vAlign w:val="center"/>
          </w:tcPr>
          <w:p>
            <w:pPr>
              <w:pStyle w:val="TableContents"/>
              <w:bidi w:val="0"/>
              <w:spacing w:before="0" w:after="283"/>
              <w:jc w:val="left"/>
              <w:rPr/>
            </w:pPr>
            <w:r>
              <w:rPr/>
              <w:t>283269</w:t>
            </w:r>
          </w:p>
        </w:tc>
        <w:tc>
          <w:tcPr>
            <w:tcW w:w="1897" w:type="dxa"/>
            <w:tcBorders/>
            <w:vAlign w:val="center"/>
          </w:tcPr>
          <w:p>
            <w:pPr>
              <w:pStyle w:val="TableContents"/>
              <w:bidi w:val="0"/>
              <w:spacing w:before="0" w:after="283"/>
              <w:jc w:val="left"/>
              <w:rPr/>
            </w:pPr>
            <w:r>
              <w:rPr/>
              <w:t>56542873.94</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08/19/2026</w:t>
            </w:r>
          </w:p>
        </w:tc>
        <w:tc>
          <w:tcPr>
            <w:tcW w:w="1531" w:type="dxa"/>
            <w:tcBorders/>
            <w:vAlign w:val="center"/>
          </w:tcPr>
          <w:p>
            <w:pPr>
              <w:pStyle w:val="TableContents"/>
              <w:bidi w:val="0"/>
              <w:spacing w:before="0" w:after="283"/>
              <w:jc w:val="left"/>
              <w:rPr/>
            </w:pPr>
            <w:r>
              <w:rPr/>
              <w:t>95000</w:t>
            </w:r>
          </w:p>
        </w:tc>
        <w:tc>
          <w:tcPr>
            <w:tcW w:w="1897" w:type="dxa"/>
            <w:tcBorders/>
            <w:vAlign w:val="center"/>
          </w:tcPr>
          <w:p>
            <w:pPr>
              <w:pStyle w:val="TableContents"/>
              <w:bidi w:val="0"/>
              <w:spacing w:before="0" w:after="283"/>
              <w:jc w:val="left"/>
              <w:rPr/>
            </w:pPr>
            <w:r>
              <w:rPr/>
              <w:t>19312857.70</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08/20/2026</w:t>
            </w:r>
          </w:p>
        </w:tc>
        <w:tc>
          <w:tcPr>
            <w:tcW w:w="1531" w:type="dxa"/>
            <w:tcBorders/>
            <w:vAlign w:val="center"/>
          </w:tcPr>
          <w:p>
            <w:pPr>
              <w:pStyle w:val="TableContents"/>
              <w:bidi w:val="0"/>
              <w:spacing w:before="0" w:after="283"/>
              <w:jc w:val="left"/>
              <w:rPr/>
            </w:pPr>
            <w:r>
              <w:rPr/>
              <w:t>285238</w:t>
            </w:r>
          </w:p>
        </w:tc>
        <w:tc>
          <w:tcPr>
            <w:tcW w:w="1897" w:type="dxa"/>
            <w:tcBorders/>
            <w:vAlign w:val="center"/>
          </w:tcPr>
          <w:p>
            <w:pPr>
              <w:pStyle w:val="TableContents"/>
              <w:bidi w:val="0"/>
              <w:spacing w:before="0" w:after="283"/>
              <w:jc w:val="left"/>
              <w:rPr/>
            </w:pPr>
            <w:r>
              <w:rPr/>
              <w:t>60999944.21</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08/21/2026</w:t>
            </w:r>
          </w:p>
        </w:tc>
        <w:tc>
          <w:tcPr>
            <w:tcW w:w="1531" w:type="dxa"/>
            <w:tcBorders/>
            <w:vAlign w:val="center"/>
          </w:tcPr>
          <w:p>
            <w:pPr>
              <w:pStyle w:val="TableContents"/>
              <w:bidi w:val="0"/>
              <w:spacing w:before="0" w:after="283"/>
              <w:jc w:val="left"/>
              <w:rPr/>
            </w:pPr>
            <w:r>
              <w:rPr/>
              <w:t>299336</w:t>
            </w:r>
          </w:p>
        </w:tc>
        <w:tc>
          <w:tcPr>
            <w:tcW w:w="1897" w:type="dxa"/>
            <w:tcBorders/>
            <w:vAlign w:val="center"/>
          </w:tcPr>
          <w:p>
            <w:pPr>
              <w:pStyle w:val="TableContents"/>
              <w:bidi w:val="0"/>
              <w:spacing w:before="0" w:after="283"/>
              <w:jc w:val="left"/>
              <w:rPr/>
            </w:pPr>
            <w:r>
              <w:rPr/>
              <w:t>65242566.35</w:t>
            </w:r>
          </w:p>
        </w:tc>
      </w:tr>
      <w:tr>
        <w:trPr/>
        <w:tc>
          <w:tcPr>
            <w:tcW w:w="3026" w:type="dxa"/>
            <w:tcBorders/>
            <w:vAlign w:val="center"/>
          </w:tcPr>
          <w:p>
            <w:pPr>
              <w:pStyle w:val="TableContents"/>
              <w:bidi w:val="0"/>
              <w:spacing w:before="0" w:after="283"/>
              <w:jc w:val="left"/>
              <w:rPr/>
            </w:pPr>
            <w:r>
              <w:rPr/>
              <w:t>Corvex Management LP (1)</w:t>
              <w:br/>
              <w:t>667 Madison Avenue</w:t>
              <w:br/>
              <w:t>New York   NY   10065</w:t>
            </w:r>
          </w:p>
        </w:tc>
        <w:tc>
          <w:tcPr>
            <w:tcW w:w="2829" w:type="dxa"/>
            <w:tcBorders/>
            <w:vAlign w:val="center"/>
          </w:tcPr>
          <w:p>
            <w:pPr>
              <w:pStyle w:val="TableContents"/>
              <w:bidi w:val="0"/>
              <w:spacing w:before="0" w:after="283"/>
              <w:jc w:val="left"/>
              <w:rPr/>
            </w:pPr>
            <w:r>
              <w:rPr/>
              <w:t>Common Stock, par value $0.01 per share</w:t>
            </w:r>
          </w:p>
        </w:tc>
        <w:tc>
          <w:tcPr>
            <w:tcW w:w="922" w:type="dxa"/>
            <w:tcBorders/>
            <w:vAlign w:val="center"/>
          </w:tcPr>
          <w:p>
            <w:pPr>
              <w:pStyle w:val="TableContents"/>
              <w:bidi w:val="0"/>
              <w:spacing w:before="0" w:after="283"/>
              <w:jc w:val="left"/>
              <w:rPr/>
            </w:pPr>
            <w:r>
              <w:rPr/>
              <w:t>08/25/2026</w:t>
            </w:r>
          </w:p>
        </w:tc>
        <w:tc>
          <w:tcPr>
            <w:tcW w:w="1531" w:type="dxa"/>
            <w:tcBorders/>
            <w:vAlign w:val="center"/>
          </w:tcPr>
          <w:p>
            <w:pPr>
              <w:pStyle w:val="TableContents"/>
              <w:bidi w:val="0"/>
              <w:spacing w:before="0" w:after="283"/>
              <w:jc w:val="left"/>
              <w:rPr/>
            </w:pPr>
            <w:r>
              <w:rPr/>
              <w:t>20000</w:t>
            </w:r>
          </w:p>
        </w:tc>
        <w:tc>
          <w:tcPr>
            <w:tcW w:w="1897" w:type="dxa"/>
            <w:tcBorders/>
            <w:vAlign w:val="center"/>
          </w:tcPr>
          <w:p>
            <w:pPr>
              <w:pStyle w:val="TableContents"/>
              <w:bidi w:val="0"/>
              <w:spacing w:before="0" w:after="283"/>
              <w:jc w:val="left"/>
              <w:rPr/>
            </w:pPr>
            <w:r>
              <w:rPr/>
              <w:t>4517623.21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31"/>
        <w:gridCol w:w="9074"/>
      </w:tblGrid>
      <w:tr>
        <w:trPr/>
        <w:tc>
          <w:tcPr>
            <w:tcW w:w="1131" w:type="dxa"/>
            <w:tcBorders/>
            <w:vAlign w:val="center"/>
          </w:tcPr>
          <w:p>
            <w:pPr>
              <w:pStyle w:val="TableContents"/>
              <w:bidi w:val="0"/>
              <w:spacing w:before="0" w:after="283"/>
              <w:jc w:val="left"/>
              <w:rPr/>
            </w:pPr>
            <w:r>
              <w:rPr/>
              <w:t>Remarks</w:t>
            </w:r>
          </w:p>
        </w:tc>
        <w:tc>
          <w:tcPr>
            <w:tcW w:w="9074" w:type="dxa"/>
            <w:tcBorders/>
            <w:vAlign w:val="center"/>
          </w:tcPr>
          <w:p>
            <w:pPr>
              <w:pStyle w:val="TableContents"/>
              <w:bidi w:val="0"/>
              <w:spacing w:before="0" w:after="0"/>
              <w:jc w:val="left"/>
              <w:rPr/>
            </w:pPr>
            <w:r>
              <w:rPr/>
              <w:t>1. Corvex Management LP (Corvex) may be deemed to be the beneficial owner of shares of Common Stock (Common Stock) of Illumina, Inc. (the Issuer) held by one or more funds for which Corvex serves as investment adviser. The general partner of Corvex is controlled by Keith Meister, who serves as a director on the Board of Directors of the Issuer. 2. Shares of Common Stock to be sold were purchased between October 25, 2023 and March 27, 2025 in various open market transactions.</w:t>
            </w:r>
          </w:p>
        </w:tc>
      </w:tr>
      <w:tr>
        <w:trPr/>
        <w:tc>
          <w:tcPr>
            <w:tcW w:w="1131" w:type="dxa"/>
            <w:tcBorders/>
            <w:vAlign w:val="center"/>
          </w:tcPr>
          <w:p>
            <w:pPr>
              <w:pStyle w:val="TableContents"/>
              <w:bidi w:val="0"/>
              <w:spacing w:before="0" w:after="283"/>
              <w:jc w:val="left"/>
              <w:rPr/>
            </w:pPr>
            <w:r>
              <w:rPr/>
              <w:t>Date of Notice</w:t>
            </w:r>
          </w:p>
        </w:tc>
        <w:tc>
          <w:tcPr>
            <w:tcW w:w="9074" w:type="dxa"/>
            <w:tcBorders/>
            <w:vAlign w:val="center"/>
          </w:tcPr>
          <w:p>
            <w:pPr>
              <w:pStyle w:val="TableContents"/>
              <w:bidi w:val="0"/>
              <w:spacing w:before="0" w:after="0"/>
              <w:jc w:val="left"/>
              <w:rPr/>
            </w:pPr>
            <w:r>
              <w:rPr/>
              <w:t>08/25/2026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31" w:type="dxa"/>
            <w:tcBorders/>
            <w:vAlign w:val="center"/>
          </w:tcPr>
          <w:p>
            <w:pPr>
              <w:pStyle w:val="TableContents"/>
              <w:bidi w:val="0"/>
              <w:spacing w:before="0" w:after="283"/>
              <w:jc w:val="left"/>
              <w:rPr/>
            </w:pPr>
            <w:r>
              <w:rPr/>
              <w:t>Signature</w:t>
            </w:r>
          </w:p>
        </w:tc>
        <w:tc>
          <w:tcPr>
            <w:tcW w:w="9074" w:type="dxa"/>
            <w:tcBorders/>
            <w:vAlign w:val="center"/>
          </w:tcPr>
          <w:p>
            <w:pPr>
              <w:pStyle w:val="TableContents"/>
              <w:bidi w:val="0"/>
              <w:spacing w:before="0" w:after="0"/>
              <w:jc w:val="left"/>
              <w:rPr/>
            </w:pPr>
            <w:r>
              <w:rPr/>
              <w:t>/s/ Patrick Dooley, authorized signatory of Corvex Management LP</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896</Words>
  <Characters>4522</Characters>
  <CharactersWithSpaces>5350</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