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Skovronsky Daniel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ILLUMINA,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ILMN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2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5200 ILLUMINA WAY</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92122</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11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Robert Maynes for Daniel</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Skovronsky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3079"/>
        <w:spacing w:after="0" w:line="238"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Scott Davies and Robert Maynes, and each of them, his or her true and lawful attorney-in-fact to:</w:t>
      </w:r>
    </w:p>
    <w:p>
      <w:pPr>
        <w:ind w:left="940" w:hanging="940"/>
        <w:spacing w:after="0"/>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w:t>
      </w:r>
    </w:p>
    <w:p>
      <w:pPr>
        <w:ind w:right="2839"/>
        <w:spacing w:after="0" w:line="238" w:lineRule="auto"/>
        <w:rPr>
          <w:sz w:val="20"/>
          <w:szCs w:val="20"/>
          <w:color w:val="auto"/>
        </w:rPr>
      </w:pPr>
      <w:r>
        <w:rPr>
          <w:rFonts w:ascii="Courier New" w:cs="Courier New" w:eastAsia="Courier New" w:hAnsi="Courier New"/>
          <w:sz w:val="20"/>
          <w:szCs w:val="20"/>
          <w:color w:val="auto"/>
        </w:rPr>
        <w:t>in the undersigneds capacity as an officer and/or director of Illumina, Inc. (the Company), any and all Form 3, 4 and 5 reports required to be filed by the undersigned in accordance with Section 16(a) of the Securities Exchange Act of 1934 and the rules thereunder;</w:t>
      </w:r>
    </w:p>
    <w:p>
      <w:pPr>
        <w:spacing w:after="0" w:line="2" w:lineRule="exact"/>
        <w:rPr>
          <w:sz w:val="20"/>
          <w:szCs w:val="20"/>
          <w:color w:val="auto"/>
        </w:rPr>
      </w:pPr>
    </w:p>
    <w:p>
      <w:pPr>
        <w:ind w:right="259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report and timely file such report with the United States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right="247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discretion.</w:t>
      </w:r>
    </w:p>
    <w:p>
      <w:pPr>
        <w:spacing w:after="0" w:line="6" w:lineRule="exact"/>
        <w:rPr>
          <w:rFonts w:ascii="Courier New" w:cs="Courier New" w:eastAsia="Courier New" w:hAnsi="Courier New"/>
          <w:sz w:val="18"/>
          <w:szCs w:val="18"/>
          <w:color w:val="auto"/>
        </w:rPr>
      </w:pPr>
    </w:p>
    <w:p>
      <w:pPr>
        <w:ind w:right="247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w:t>
      </w:r>
    </w:p>
    <w:p>
      <w:pPr>
        <w:spacing w:after="0" w:line="8" w:lineRule="exact"/>
        <w:rPr>
          <w:rFonts w:ascii="Courier New" w:cs="Courier New" w:eastAsia="Courier New" w:hAnsi="Courier New"/>
          <w:sz w:val="18"/>
          <w:szCs w:val="18"/>
          <w:color w:val="auto"/>
        </w:rPr>
      </w:pPr>
    </w:p>
    <w:p>
      <w:pPr>
        <w:ind w:right="271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serving in such capacity at the request of the undersigned, is hereby assuming, nor is the Company hereby assuming, any of the undersigneds responsibilities to comply with Section 16 of the Securities Exchange Act of 1934.</w:t>
      </w:r>
    </w:p>
    <w:p>
      <w:pPr>
        <w:spacing w:after="0" w:line="1" w:lineRule="exact"/>
        <w:rPr>
          <w:rFonts w:ascii="Courier New" w:cs="Courier New" w:eastAsia="Courier New" w:hAnsi="Courier New"/>
          <w:sz w:val="18"/>
          <w:szCs w:val="18"/>
          <w:color w:val="auto"/>
        </w:rPr>
      </w:pPr>
    </w:p>
    <w:p>
      <w:pPr>
        <w:ind w:right="2479"/>
        <w:spacing w:after="0" w:line="252"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and 5 reports with respect to the undersigneds holdings of and transactions in securities issued by the Company, unless earlier revoked by the undersigned in a signed writing delivered to the foregoing attorneys in-fact.</w:t>
      </w:r>
    </w:p>
    <w:p>
      <w:pPr>
        <w:spacing w:after="0" w:line="112"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22nd day of June, 2026.</w:t>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/s/Daniel Skovronsky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238" w:lineRule="auto"/>
        <w:rPr>
          <w:sz w:val="20"/>
          <w:szCs w:val="20"/>
          <w:color w:val="auto"/>
        </w:rPr>
      </w:pPr>
      <w:r>
        <w:rPr>
          <w:rFonts w:ascii="Courier New" w:cs="Courier New" w:eastAsia="Courier New" w:hAnsi="Courier New"/>
          <w:sz w:val="20"/>
          <w:szCs w:val="20"/>
          <w:color w:val="auto"/>
        </w:rPr>
        <w:t>Daniel Skovronsky</w:t>
      </w:r>
    </w:p>
    <w:p>
      <w:pPr>
        <w:spacing w:after="0"/>
        <w:rPr>
          <w:sz w:val="20"/>
          <w:szCs w:val="20"/>
          <w:color w:val="auto"/>
        </w:rPr>
      </w:pPr>
      <w:r>
        <w:rPr>
          <w:rFonts w:ascii="Courier New" w:cs="Courier New" w:eastAsia="Courier New" w:hAnsi="Courier New"/>
          <w:sz w:val="20"/>
          <w:szCs w:val="20"/>
          <w:color w:val="auto"/>
        </w:rPr>
        <w:t>[Name]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41474" TargetMode="External"/><Relationship Id="rId11" Type="http://schemas.openxmlformats.org/officeDocument/2006/relationships/hyperlink" Target="http://www.sec.gov/cgi-bin/browse-edgar?action=getcompany&amp;CIK=00011108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2026-06-23T17:12:11Z</dcterms:created>
  <dcterms:modified xsi:type="dcterms:W3CDTF">2026-06-23T17:12:11Z</dcterms:modified>
</cp:coreProperties>
</file>