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Coletti Julie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5200 ILLUMINA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ILLUMINA, INC.</w:t>
              </w:r>
            </w:hyperlink>
            <w:r>
              <w:rPr/>
              <w:t xml:space="preserve"> [ </w:t>
            </w:r>
            <w:r>
              <w:rPr>
                <w:rFonts w:ascii="Times;serif" w:hAnsi="Times;serif"/>
                <w:color w:val="0000FF"/>
                <w:sz w:val="24"/>
                <w:shd w:fill="FFFFFF" w:val="clear"/>
              </w:rPr>
              <w:t>ILMN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4,549</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4,549</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14,214</w:t>
            </w:r>
            <w:r>
              <w:rPr>
                <w:rFonts w:ascii="Times;serif" w:hAnsi="Times;serif"/>
                <w:color w:val="008000"/>
                <w:position w:val="7"/>
                <w:sz w:val="16"/>
                <w:sz w:val="20"/>
                <w:shd w:fill="FFFFFF" w:val="clear"/>
              </w:rPr>
              <w:t>(2)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18,763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5,307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5,307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5,307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with 25% of the shares subject to the award vesting on each of the first, second, third and fourth anniversaries of the date of grant, subject to the awardee's continuing to be a service provider on such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 of restricted stock units shall vest as follows: 33.3% of the shares subject to the award shall vest on each of September 5, 2027, September 5, 2028, and September 5, 2029, subject to the awardee's continuing status as a service provider on such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stock unit represents a contingent right to receive one share of common stock based on the Company's three-year average consolidated non-GAAP earnings per share growth for fiscal years 2026-2028 with vesting on December 31, 2028. The number of shares issued will range from 0% to 250% of the amount specified above, based on the Company's actual three-year average consolidated non-GAAP earnings per share growth for fiscal years 2026-2028, relative to pre-defined objectives, subject to awardee's continuing to be a service provider on such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performance stock unit represents a contingent right to receive one share of common stock based on the Company's relative total shareholder return for the fiscal year ending December 31, 2028. The number of shares issued will range from 0% to 250% of the amount specified above, based on the company's relative total shareholder return for the fiscal year ending December 31, 2028, relative to pre-defined objectives, subject to the awardee's continuing status as a service provider on such dates.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Robert Maynes for Julie Ann Coletti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7603" TargetMode="External"/><Relationship Id="rId5" Type="http://schemas.openxmlformats.org/officeDocument/2006/relationships/hyperlink" Target="http://www.sec.gov/cgi-bin/browse-edgar?action=getcompany&amp;CIK=00011108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859</Words>
  <Characters>4567</Characters>
  <CharactersWithSpaces>5324</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