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8, 2026 </w:t>
      </w:r>
    </w:p>
    <w:p>
      <w:pPr>
        <w:pStyle w:val="TextBody"/>
        <w:bidi w:val="0"/>
        <w:spacing w:before="240" w:after="283"/>
        <w:jc w:val="center"/>
        <w:rPr/>
      </w:pPr>
      <w:r>
        <w:rPr/>
        <w:drawing>
          <wp:inline distT="0" distB="0" distL="0" distR="0">
            <wp:extent cx="1905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667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Illumina,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001-35406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7030"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33-0804655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5200 Illumina Way, San Diego, CA 92122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(858) 202-4500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ILMN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Entry into Dealer Agreements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2026, Illumina, Inc. (the “Company”) entered into definitive documentation to establish an unsecured commercial paper program (the “CP Program”) pursuant to which the Company may issue short-term, unsecured commercial paper notes (the “CP Notes”) pursuant to the exemption from registration contained in Section 4(a)(2) of the Securities Act of 1933, as amended (the “Securities Act”). Amounts available under the CP Program may be borrowed, repaid and re-borrowed from time to time, with the aggregate principal amount of CP Notes outstanding under the CP Program at any time not to exceed $1.0 billion. The net proceeds of issuances of the CP Notes are expected to be used for general corporate purposes. As of the date of this report, no CP Notes were outstanding under the CP Program.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maturities of the CP Notes will vary but may not exceed 397 days from the date of issue. The CP Notes will be sold under customary terms in the commercial paper market and will be issued at a discount from par or, alternatively, will be issued at par and bear varying interest rates on a fixed or floating basis.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Initially, three commercial paper dealers will each act as a dealer under the CP Program (each a “Dealer” and, collectively, the “Dealers”) pursuant to the terms and conditions of a commercial paper dealer agreement entered into among the Company and each Dealer (each, a “Dealer Agreement”). A national bank will act as issuing and paying agent under the CP Program.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Each Dealer Agreement provides the terms under which the applicable Dealer will either purchase the CP Notes from the Company or arrange for the sale of the CP Notes by the Company to one or more purchasers, in each case pursuant to an exemption from federal and state securities laws. Each Dealer Agreement contains customary representations, warranties, covenants and indemnification provisions. The Dealer Agreements are substantially identical in all material respects except as to the parties thereto and the notice provisions.</w:t>
      </w:r>
      <w:r>
        <w:rPr>
          <w:color w:val="000000"/>
        </w:rPr>
        <w:t xml:space="preserve"> </w:t>
      </w:r>
      <w:r>
        <w:rPr>
          <w:rFonts w:ascii="Times New Roman;serif" w:hAnsi="Times New Roman;serif"/>
          <w:b w:val="false"/>
          <w:color w:val="000000"/>
          <w:sz w:val="20"/>
        </w:rPr>
        <w:t>The foregoing summary of the Dealer Agreements does not purport to be complete and is subject to, and qualified in its entirety by, the full text of the Dealer Agreements, a form of which is attached hereto as Exhibit 10.1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one or more of the Dealers and certain of their respective affiliates have provided, and may in the future provide, commercial banking, investment banking and other financial advisory services to the Company and its affiliates for which they have received or will receive customary fees and expenses.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CP Notes have not been and will not be registered under the Securities Act or state securities laws and may not be offered or sold in the United States absent registration or an applicable exemption from the registration requirements of the Securities Act and applicable state laws. The information contained in this Current Report on Form 8-K is neither an offer to sell nor a solicitation of an offer to buy any securities.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Entry into a Material Definitive Agreement"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9"/>
        <w:gridCol w:w="455"/>
        <w:gridCol w:w="457"/>
        <w:gridCol w:w="109"/>
        <w:gridCol w:w="109"/>
        <w:gridCol w:w="109"/>
        <w:gridCol w:w="2467"/>
        <w:gridCol w:w="2467"/>
        <w:gridCol w:w="3513"/>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101commercialpaperdealer.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101commercialpaperdealer.htm">
              <w:r>
                <w:rPr>
                  <w:rStyle w:val="InternetLink"/>
                  <w:rFonts w:ascii="Times New Roman;serif" w:hAnsi="Times New Roman;serif"/>
                  <w:b w:val="false"/>
                  <w:color w:val="0000FF"/>
                  <w:sz w:val="20"/>
                  <w:u w:val="single"/>
                </w:rPr>
                <w:t>Form of Dealer Agreement among Illumina, Inc. and the Dealer party thereto</w:t>
              </w:r>
            </w:hyperlink>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0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208"/>
        <w:gridCol w:w="208"/>
        <w:gridCol w:w="213"/>
        <w:gridCol w:w="212"/>
        <w:gridCol w:w="212"/>
        <w:gridCol w:w="212"/>
        <w:gridCol w:w="212"/>
        <w:gridCol w:w="212"/>
        <w:gridCol w:w="212"/>
        <w:gridCol w:w="212"/>
        <w:gridCol w:w="212"/>
        <w:gridCol w:w="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ILLUMINA, INC.</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ANKUR DHINGRA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Ankur Dhingra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435"/>
        <w:gridCol w:w="383"/>
        <w:gridCol w:w="385"/>
        <w:gridCol w:w="109"/>
        <w:gridCol w:w="109"/>
        <w:gridCol w:w="109"/>
        <w:gridCol w:w="2792"/>
        <w:gridCol w:w="2792"/>
        <w:gridCol w:w="2827"/>
        <w:gridCol w:w="109"/>
        <w:gridCol w:w="155"/>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pPr>
            <w:hyperlink w:anchor="ex101commercialpaperdealer.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pPr>
            <w:hyperlink w:anchor="ex101commercialpaperdealer.htm">
              <w:r>
                <w:rPr>
                  <w:rStyle w:val="InternetLink"/>
                  <w:rFonts w:ascii="Times New Roman;serif" w:hAnsi="Times New Roman;serif"/>
                  <w:b w:val="false"/>
                  <w:color w:val="0000FF"/>
                  <w:sz w:val="20"/>
                  <w:u w:val="single"/>
                </w:rPr>
                <w:t>Form of Dealer Agreement among Illumina, Inc. and the Dealer party thereto</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12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10.1</w:t>
      </w:r>
    </w:p>
    <w:p>
      <w:pPr>
        <w:pStyle w:val="TextBody"/>
        <w:bidi w:val="0"/>
        <w:spacing w:before="960" w:after="283"/>
        <w:jc w:val="center"/>
        <w:rPr/>
      </w:pPr>
      <w:r>
        <w:rPr/>
      </w:r>
    </w:p>
    <w:p>
      <w:pPr>
        <w:pStyle w:val="TextBody"/>
        <w:bidi w:val="0"/>
        <w:spacing w:lineRule="atLeast" w:line="800" w:before="0" w:after="0"/>
        <w:jc w:val="center"/>
        <w:rPr>
          <w:rFonts w:ascii="Times New Roman;serif" w:hAnsi="Times New Roman;serif"/>
          <w:b w:val="false"/>
          <w:color w:val="000000"/>
          <w:sz w:val="48"/>
        </w:rPr>
      </w:pPr>
      <w:r>
        <w:rPr>
          <w:rFonts w:ascii="Times New Roman;serif" w:hAnsi="Times New Roman;serif"/>
          <w:b w:val="false"/>
          <w:color w:val="000000"/>
          <w:sz w:val="48"/>
        </w:rPr>
        <w:t>Commercial Paper Dealer Agreement</w:t>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4(a)(2) Program</w:t>
      </w:r>
    </w:p>
    <w:p>
      <w:pPr>
        <w:pStyle w:val="TextBody"/>
        <w:bidi w:val="0"/>
        <w:spacing w:before="120" w:after="160"/>
        <w:jc w:val="left"/>
        <w:rPr/>
      </w:pPr>
      <w:r>
        <w:rPr/>
      </w:r>
    </w:p>
    <w:p>
      <w:pPr>
        <w:pStyle w:val="TextBody"/>
        <w:bidi w:val="0"/>
        <w:spacing w:lineRule="atLeast" w:line="280" w:before="120" w:after="160"/>
        <w:jc w:val="left"/>
        <w:rPr>
          <w:color w:val="000000"/>
        </w:rPr>
      </w:pPr>
      <w:r>
        <w:rPr>
          <w:color w:val="000000"/>
        </w:rPr>
        <w:t>            </w:t>
      </w:r>
      <w:r>
        <w:rPr>
          <w:rFonts w:ascii="Times New Roman;serif" w:hAnsi="Times New Roman;serif"/>
          <w:b w:val="false"/>
          <w:color w:val="000000"/>
          <w:sz w:val="22"/>
        </w:rPr>
        <w:t>Between:</w:t>
      </w:r>
    </w:p>
    <w:p>
      <w:pPr>
        <w:pStyle w:val="TextBody"/>
        <w:bidi w:val="0"/>
        <w:spacing w:before="120" w:after="160"/>
        <w:jc w:val="center"/>
        <w:rPr/>
      </w:pPr>
      <w:r>
        <w:rPr/>
      </w:r>
    </w:p>
    <w:p>
      <w:pPr>
        <w:pStyle w:val="TextBody"/>
        <w:bidi w:val="0"/>
        <w:spacing w:lineRule="atLeast" w:line="280" w:before="120" w:after="160"/>
        <w:jc w:val="center"/>
        <w:rPr>
          <w:rFonts w:ascii="Times New Roman;serif" w:hAnsi="Times New Roman;serif"/>
          <w:b w:val="false"/>
          <w:color w:val="000000"/>
          <w:sz w:val="22"/>
        </w:rPr>
      </w:pPr>
      <w:r>
        <w:rPr>
          <w:rFonts w:ascii="Times New Roman;serif" w:hAnsi="Times New Roman;serif"/>
          <w:b w:val="false"/>
          <w:color w:val="000000"/>
          <w:sz w:val="22"/>
        </w:rPr>
        <w:t>ILLUMINA, INC., as Issuer and</w:t>
      </w:r>
    </w:p>
    <w:p>
      <w:pPr>
        <w:pStyle w:val="TextBody"/>
        <w:bidi w:val="0"/>
        <w:spacing w:before="120" w:after="160"/>
        <w:jc w:val="center"/>
        <w:rPr/>
      </w:pPr>
      <w:r>
        <w:rPr/>
      </w:r>
    </w:p>
    <w:p>
      <w:pPr>
        <w:pStyle w:val="TextBody"/>
        <w:bidi w:val="0"/>
        <w:spacing w:lineRule="atLeast" w:line="280" w:before="120" w:after="160"/>
        <w:jc w:val="center"/>
        <w:rPr/>
      </w:pPr>
      <w:r>
        <w:rPr>
          <w:rFonts w:ascii="Times New Roman;serif" w:hAnsi="Times New Roman;serif"/>
          <w:b/>
          <w:color w:val="000000"/>
          <w:sz w:val="22"/>
        </w:rPr>
        <w:t>[●]</w:t>
      </w:r>
      <w:r>
        <w:rPr>
          <w:rFonts w:ascii="Times New Roman;serif" w:hAnsi="Times New Roman;serif"/>
          <w:b w:val="false"/>
          <w:color w:val="000000"/>
          <w:sz w:val="22"/>
        </w:rPr>
        <w:t>, as Dealer</w:t>
      </w:r>
    </w:p>
    <w:p>
      <w:pPr>
        <w:pStyle w:val="TextBody"/>
        <w:bidi w:val="0"/>
        <w:spacing w:before="0" w:after="120"/>
        <w:jc w:val="center"/>
        <w:rPr/>
      </w:pPr>
      <w:r>
        <w:rPr/>
      </w:r>
    </w:p>
    <w:p>
      <w:pPr>
        <w:pStyle w:val="TextBody"/>
        <w:bidi w:val="0"/>
        <w:spacing w:lineRule="atLeast" w:line="280" w:before="0" w:after="120"/>
        <w:jc w:val="center"/>
        <w:rPr>
          <w:rFonts w:ascii="Times New Roman;serif" w:hAnsi="Times New Roman;serif"/>
          <w:b w:val="false"/>
          <w:color w:val="000000"/>
          <w:sz w:val="22"/>
        </w:rPr>
      </w:pPr>
      <w:r>
        <w:rPr>
          <w:rFonts w:ascii="Times New Roman;serif" w:hAnsi="Times New Roman;serif"/>
          <w:b w:val="false"/>
          <w:color w:val="000000"/>
          <w:sz w:val="22"/>
        </w:rPr>
        <w:t>Concerning Notes to be issued pursuant to an Issuing and Paying Agent Agreement dated as of [●] by and between the Issuer and [●], as Issuing and Paying Agent</w:t>
      </w:r>
    </w:p>
    <w:p>
      <w:pPr>
        <w:pStyle w:val="TextBody"/>
        <w:bidi w:val="0"/>
        <w:spacing w:before="120" w:after="160"/>
        <w:jc w:val="center"/>
        <w:rPr/>
      </w:pPr>
      <w:r>
        <w:rPr/>
      </w:r>
    </w:p>
    <w:p>
      <w:pPr>
        <w:pStyle w:val="TextBody"/>
        <w:bidi w:val="0"/>
        <w:spacing w:lineRule="atLeast" w:line="280" w:before="120" w:after="160"/>
        <w:jc w:val="center"/>
        <w:rPr>
          <w:rFonts w:ascii="Times New Roman;serif" w:hAnsi="Times New Roman;serif"/>
          <w:b w:val="false"/>
          <w:color w:val="000000"/>
          <w:sz w:val="22"/>
        </w:rPr>
      </w:pPr>
      <w:r>
        <w:rPr>
          <w:rFonts w:ascii="Times New Roman;serif" w:hAnsi="Times New Roman;serif"/>
          <w:b w:val="false"/>
          <w:color w:val="000000"/>
          <w:sz w:val="22"/>
        </w:rPr>
        <w:t>Dated as of</w:t>
      </w:r>
    </w:p>
    <w:p>
      <w:pPr>
        <w:pStyle w:val="TextBody"/>
        <w:bidi w:val="0"/>
        <w:spacing w:lineRule="atLeast" w:line="280" w:before="120" w:after="160"/>
        <w:jc w:val="center"/>
        <w:rPr>
          <w:rFonts w:ascii="Times New Roman;serif" w:hAnsi="Times New Roman;serif"/>
          <w:b w:val="false"/>
          <w:color w:val="000000"/>
          <w:sz w:val="22"/>
        </w:rPr>
      </w:pPr>
      <w:r>
        <w:rPr>
          <w:rFonts w:ascii="Times New Roman;serif" w:hAnsi="Times New Roman;serif"/>
          <w:b w:val="false"/>
          <w:color w:val="000000"/>
          <w:sz w:val="22"/>
        </w:rPr>
        <w:t>October 8, 2026</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0"/>
        <w:jc w:val="left"/>
        <w:rPr>
          <w:rFonts w:ascii="Times New Roman;serif" w:hAnsi="Times New Roman;serif"/>
          <w:b/>
          <w:color w:val="000000"/>
          <w:sz w:val="24"/>
        </w:rPr>
      </w:pPr>
      <w:r>
        <w:rPr>
          <w:rFonts w:ascii="Times New Roman;serif" w:hAnsi="Times New Roman;serif"/>
          <w:b/>
          <w:color w:val="000000"/>
          <w:sz w:val="24"/>
        </w:rPr>
        <w:t>Commercial Paper Dealer Agreement</w:t>
      </w:r>
    </w:p>
    <w:p>
      <w:pPr>
        <w:pStyle w:val="TextBody"/>
        <w:bidi w:val="0"/>
        <w:spacing w:lineRule="atLeast" w:line="280" w:before="0" w:after="120"/>
        <w:jc w:val="left"/>
        <w:rPr>
          <w:rFonts w:ascii="Times New Roman;serif" w:hAnsi="Times New Roman;serif"/>
          <w:b/>
          <w:color w:val="000000"/>
          <w:sz w:val="24"/>
        </w:rPr>
      </w:pPr>
      <w:r>
        <w:rPr>
          <w:rFonts w:ascii="Times New Roman;serif" w:hAnsi="Times New Roman;serif"/>
          <w:b/>
          <w:color w:val="000000"/>
          <w:sz w:val="24"/>
        </w:rPr>
        <w:t>4(a)(2) Program</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This commercial paper dealer agreement (this “Agreement”) sets forth the understandings between the Issuer and the Dealer, each named on the cover page hereof, in connection with the issuance and sale by the Issuer of its short-term promissory notes (the “Notes”) through the Dealer.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Certain terms used in this Agreement are defined in Section 6 hereof.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Addendum to this Agreement, and any Annexes or Exhibits described in this Agreement or such Addendum, are hereby incorporated into this Agreement and made fully a part hereof. </w:t>
      </w:r>
    </w:p>
    <w:p>
      <w:pPr>
        <w:pStyle w:val="TextBody"/>
        <w:bidi w:val="0"/>
        <w:spacing w:lineRule="atLeast" w:line="280" w:before="240" w:after="283"/>
        <w:ind w:left="0" w:right="0" w:hanging="360"/>
        <w:jc w:val="left"/>
        <w:rPr>
          <w:rFonts w:ascii="Times New Roman;serif" w:hAnsi="Times New Roman;serif"/>
          <w:b/>
          <w:color w:val="000000"/>
          <w:sz w:val="24"/>
        </w:rPr>
      </w:pPr>
      <w:r>
        <w:rPr>
          <w:rFonts w:ascii="Times New Roman;serif" w:hAnsi="Times New Roman;serif"/>
          <w:b/>
          <w:color w:val="000000"/>
          <w:sz w:val="24"/>
        </w:rPr>
        <w:t>1.Offers, Sales and Resales of Notes.</w:t>
      </w:r>
    </w:p>
    <w:p>
      <w:pPr>
        <w:pStyle w:val="TextBody"/>
        <w:bidi w:val="0"/>
        <w:spacing w:lineRule="atLeast" w:line="280" w:before="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pStyle w:val="TextBody"/>
        <w:bidi w:val="0"/>
        <w:spacing w:lineRule="atLeast" w:line="280" w:before="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1.2    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are executing agreements with the Issuer which contain provisions substantially identical to Section 1 of this Agreement contemporaneously herewith or have executed agreements with the Issuer prior to the date hereof which contain such provisions (in the case of clauses (a) and (b), each, an “Other Dealer” and collectively, the “Other Dealers”). In no event shall the Issuer offer, solicit or accept offers to purchase, or sell, any Notes directly on its own behalf in transactions with persons other than Other Dealers as specifically permitted in this Section 1.2.</w:t>
      </w:r>
    </w:p>
    <w:p>
      <w:pPr>
        <w:pStyle w:val="TextBody"/>
        <w:bidi w:val="0"/>
        <w:spacing w:lineRule="atLeast" w:line="280" w:before="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1.3    The Notes shall have a minimum Face Amount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B hereto, the Private Placement Memorandum or a pricing supplement, or as otherwise agreed upon by the applicable purchaser and the Issuer. The Notes shall not contain any provision for extension, renewal or automatic “rollover.”</w:t>
      </w:r>
    </w:p>
    <w:p>
      <w:pPr>
        <w:pStyle w:val="TextBody"/>
        <w:bidi w:val="0"/>
        <w:spacing w:lineRule="atLeast" w:line="280" w:before="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 xml:space="preserve">1.4    The authentication and issuance of, and payment for, the Notes shall be effected in accordance with the Issuing and Paying Agent Agreement, and the Notes shall be either individual physical certificates or book-entry notes evidenced by one or more master notes (each, a “Master Note”)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160"/>
        <w:jc w:val="left"/>
        <w:rPr>
          <w:rFonts w:ascii="Times New Roman;serif" w:hAnsi="Times New Roman;serif"/>
          <w:b w:val="false"/>
          <w:color w:val="000000"/>
          <w:sz w:val="22"/>
        </w:rPr>
      </w:pPr>
      <w:r>
        <w:rPr>
          <w:rFonts w:ascii="Times New Roman;serif" w:hAnsi="Times New Roman;serif"/>
          <w:b w:val="false"/>
          <w:color w:val="000000"/>
          <w:sz w:val="22"/>
        </w:rPr>
        <w:t>registered in the name of The Depository Trust Company (“DTC”) or its nominee, in the form or forms annexed to the Issuing and Paying Agent Agreement.</w:t>
      </w:r>
    </w:p>
    <w:p>
      <w:pPr>
        <w:pStyle w:val="TextBody"/>
        <w:bidi w:val="0"/>
        <w:spacing w:lineRule="atLeast" w:line="280" w:before="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1.5    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Agent Agreement and payment for such Note shall be made by the purchaser thereof, either directly or through the Dealer, to the Issuing and Paying Agent, for the account of the Issuer. Except as otherwise agreed, in the event that the Dealer is acting as an agent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pStyle w:val="TextBody"/>
        <w:bidi w:val="0"/>
        <w:spacing w:lineRule="atLeast" w:line="280" w:before="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1.6    The Dealer and the Issuer hereby establish and agree to observe the following procedures in connection with offers, sales and subsequent resales or other transfers of the Notes:</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(a)Offers and sales of the Notes by or through the Dealer shall be made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 Qualified Institutional Buyer or an Institutional Accredited Investor.</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(b)Resales and other transfers of the Notes by the holders thereof shall be made only in accordance with the restrictions in the legend described in clause (e) of this Section 1.6 below.</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(c)No general solicitation or general advertising shall be used in connection with the offering of the Notes. Without limiting the generality of the foregoing, without the prior written approval of the Dealer, the Issuer shall not issue any press release, make any other statement to any member of the press making reference to the Notes, the offer or sale of the Notes or this Agreement or place or publish any “tombstone” or other advertisement relating to the Notes or the offer or sale thereof. To the extent permitted by applicable securities laws, the Issuer shall (i) omit the name of the Dealer from any publicly available filing by the Issuer that makes reference to the Notes, the offer or sale of the Notes or this Agreement, (ii) not include a copy of this Agreement in any such filing or as an exhibit thereto (except a form of this Agreement that omits the name of the Dealer and any other information herein that is customarily omitted from such a form that is publicly filed), and (iii) redact the Dealer’s name and any contact or other information that could identify the Dealer from any agreement or other information included in any such filing. For the avoidance of doubt, the Issuer shall not post the Private Placement Memorandum on a website without the consent of the Dealer and each Other Dealer, if any, for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(d)No sale of Notes to any one purchaser shall be for less than $250,000 Face Amount, and no Note shall be issued in a smaller Face Amount. If the purchaser is a non-bank fiduciary acting on behalf of others, each person for whom such purchaser is acting must purchase at least $250,000 Face Amount of Notes.</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(e)Offers and sales of the Notes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 </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(f)The Dealer shall furnish or make available or shall have furnished or made available to each purchaser of Notes for which it has acted as the Dealer a copy of the then-current Private Placement Memorandum unless such purchaser has previously been furnished or had made available to it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(g)The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(h)In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(i)The Issuer represents that it is not currently issuing commercial paper in the United States market in reliance upon the exemption provided by Section 3(a)(3) of the Securities Act. The Issuer agrees that, if it shall issue commercial paper after the date hereof in reliance upon such exemption (a) the proceeds from the sale of the Notes will be segregated from the proceeds of the sale of any such commercial paper by being placed in a separate account; (b) the Issuer will institute appropriate corporate procedures to ensure that the offers and sales of notes issued by the Issuer pursuant to the Section 3(a)(3) exemption are not integrated with offerings and sales of Notes hereunder; and (c) the Issuer will comply with each of the requirements of Section 3(a)(3) of the Securities Act in selling commercial paper or other short-term debt securities other than the Notes in the United States.</w:t>
      </w:r>
    </w:p>
    <w:p>
      <w:pPr>
        <w:pStyle w:val="TextBody"/>
        <w:bidi w:val="0"/>
        <w:spacing w:lineRule="atLeast" w:line="280" w:before="120" w:after="16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1.7        The Issuer hereby represents and warrants to the Dealer, in connection with offers, sales and resales of Notes, as follows:</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(a)The Issuer hereby confirms to the Dealer that (except as permitted by Section 1.6(i)) within the preceding six months neither the Issuer nor any person other than the Dealer or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pPr>
      <w:r>
        <w:rPr>
          <w:rFonts w:ascii="Times New Roman;serif" w:hAnsi="Times New Roman;serif"/>
          <w:b w:val="false"/>
          <w:color w:val="000000"/>
          <w:sz w:val="22"/>
        </w:rPr>
        <w:t>Dealers acting on behalf of the Issuer has offered or sold any Notes, or any substantially similar security of the Issuer (including, without limitation, medium-term notes issued by the Issuer), to, or solicited offers to buy any such security from, any person other than the Dealer or the Other Dealers. The Issuer also agrees that (except as permitted by Section 1.6(i)), as long as the Notes are being offered for sale by the Dealer and the Other Dealers as contemplated hereby and until at least six months after the offer of Notes hereunder has been terminated, neither the Issuer nor any person other than the Dealer or the Other Dealers (except as contemplated by Section 1.2 hereof) will offer the Notes or any substantially similar security of the Issuer for sale to, or solicit offers to buy any such security from, any person other than the Dealer or the Other Dealers, it being understood that such agreement is made with a view to bringing the offer and sale of the Notes within the exemption provided by Section 4(a)(2) of the Securities Act and shall survive any termination of this Agreement. The Issuer hereby (i) represents and warrants that it has not taken or omitted to take, and (ii) covenants that it will not take, or omit to take, in each case, any action, which action (or the absence thereof, in the case of an omission) would cause the offering and sale of Notes hereunder to be integrated with any other offering of securities, whether such offering is made by the Issuer or some other party or parties</w:t>
      </w:r>
      <w:r>
        <w:rPr>
          <w:rFonts w:ascii="Arial;sans-serif" w:hAnsi="Arial;sans-serif"/>
          <w:b w:val="false"/>
          <w:color w:val="000000"/>
          <w:sz w:val="20"/>
        </w:rPr>
        <w:t>.</w:t>
      </w:r>
    </w:p>
    <w:p>
      <w:pPr>
        <w:pStyle w:val="TextBody"/>
        <w:bidi w:val="0"/>
        <w:spacing w:lineRule="atLeast" w:line="280" w:before="120" w:after="16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pStyle w:val="TextBody"/>
        <w:bidi w:val="0"/>
        <w:spacing w:lineRule="atLeast" w:line="280" w:before="120" w:after="16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1.8 The Issuer shall not issue Notes, or request the Dealer to offer and sell Notes, to the extent that after giving effect to such issuance and the application of the proceeds thereof, the aggregate Face Amount of outstanding Notes under the Program would exceed the Maximum Amount. The Issuer may from time to time increase the Maximum Amount by:</w:t>
      </w:r>
    </w:p>
    <w:p>
      <w:pPr>
        <w:pStyle w:val="TextBody"/>
        <w:bidi w:val="0"/>
        <w:spacing w:lineRule="atLeast" w:line="280" w:before="120" w:after="160"/>
        <w:ind w:left="0" w:right="0" w:hanging="360"/>
        <w:jc w:val="left"/>
        <w:rPr/>
      </w:pPr>
      <w:r>
        <w:rPr>
          <w:rFonts w:ascii="Times New Roman;serif" w:hAnsi="Times New Roman;serif"/>
          <w:b w:val="false"/>
          <w:color w:val="000000"/>
          <w:sz w:val="22"/>
        </w:rPr>
        <w:t xml:space="preserve">(a)giving at least ten (10) days’ notice substantially in the form attached hereto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(the “Notification Letter for an Increase in the Maximum Amount”) to the Dealer and the Issuing and Paying Agent; and</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(b)delivering (i) a certificate from a duly authorized officer of the Issuer confirming that no changes have been made to the organizational documents of the Issuer since the date a certified copy thereof was most recently delivered to the Dealer or, if there has been any such change, a certified copy of the related organizational documents currently in force; (ii) certified copies of all documents evidencing the internal authorization and approval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to be adopted by the Issuer for such an increase in the Maximum Amount; (iii) an updated or supplemental Private Placement Memorandum reflecting the increase in the Maximum Amount of the Program; (iv) a legal opinion of counsel to the Issuer, addressed to the Dealer, in form and substance reasonably satisfactory to the Dealer; (v) evidence from each nationally recognized statistical rating organization providing a rating of the Notes either (A) that such rating has been confirmed after giving effect to the increase in the Maximum Amount or (B) setting forth any change in the rating of the Notes after giving effect to the increase in the Maximum Amount; and (vi) such other certificates, opinions, letters and documents as the Dealer shall have reasonably requested.</w:t>
      </w:r>
    </w:p>
    <w:p>
      <w:pPr>
        <w:pStyle w:val="TextBody"/>
        <w:bidi w:val="0"/>
        <w:spacing w:lineRule="atLeast" w:line="280" w:before="240" w:after="283"/>
        <w:ind w:left="0" w:right="0" w:hanging="360"/>
        <w:jc w:val="left"/>
        <w:rPr>
          <w:rFonts w:ascii="Times New Roman;serif" w:hAnsi="Times New Roman;serif"/>
          <w:b/>
          <w:color w:val="000000"/>
          <w:sz w:val="24"/>
        </w:rPr>
      </w:pPr>
      <w:r>
        <w:rPr>
          <w:rFonts w:ascii="Times New Roman;serif" w:hAnsi="Times New Roman;serif"/>
          <w:b/>
          <w:color w:val="000000"/>
          <w:sz w:val="24"/>
        </w:rPr>
        <w:t>2.Representations and Warranties of Issuer.</w:t>
      </w:r>
    </w:p>
    <w:p>
      <w:pPr>
        <w:pStyle w:val="TextBody"/>
        <w:bidi w:val="0"/>
        <w:spacing w:lineRule="atLeast" w:line="280" w:before="0" w:after="120"/>
        <w:jc w:val="left"/>
        <w:rPr>
          <w:color w:val="000000"/>
        </w:rPr>
      </w:pPr>
      <w:r>
        <w:rPr>
          <w:color w:val="000000"/>
        </w:rPr>
        <w:t>    </w:t>
      </w:r>
      <w:r>
        <w:rPr>
          <w:rFonts w:ascii="Times New Roman;serif" w:hAnsi="Times New Roman;serif"/>
          <w:b w:val="false"/>
          <w:color w:val="000000"/>
          <w:sz w:val="22"/>
        </w:rPr>
        <w:t>The Issuer represents and warrants that:</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1.1The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Agent Agreement.</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1.2This Agreement and the Issuing and Paying Agent Agreement have been duly authorized, executed and delivered by the Issuer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1.3The Notes have been duly authorized, and when issued as provided in the Issuing and Paying Agent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 xml:space="preserve">1.4The offer and sale of the Notes in the manner contemplated hereby do not require registration of the Notes under the Securities Act, and no indenture in respect of the Notes is required to be qualified under the Trust Indenture Act of 1939, as amended. </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1.5The Notes will rank at least pari passu with all other unsecured and unsubordinated indebtedness of the Issuer.</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1.6No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Agent Agreement, except such as have been obtained or made and are in full force and effect or as may be required by the securities or Blue Sky laws of the various states in connection with the offer and sale of the Notes.</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 xml:space="preserve">1.7Neither the execution and delivery of this Agreement and the Issuing and Paying Agent Agreement, nor the issuance of the Notes in accordance with the Issuing and Paying Agent Agreement, nor the fulfillment of or compliance with the terms and provisions hereof or thereof by the Issuer, will (i) result in the creation or imposition of any mortgage, lien, charge or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encumbrance of any nature whatsoever upon any of the properties or assets of the Issuer, or (ii) violate or result in a breach or a default under any of the terms of (a) the Issuer’s charter documents or by-laws, (b) any contract or instrument to which the Issuer is a party or by which it or its property is bound, or (c) any law or regulation, or any order, writ, injunction or decree of any court or government instrumentality, to which the Issuer is subject or by which it or its property is bound, which violation, breach, default, mortgage, lien, charge or encumbrance with respect to clauses (i), (ii)(b) or (ii)(c) would reasonably be expected to have a material adverse effect on the business, results of operations or financial condition of the Issuer and its subsidiaries, taken as a whole or the ability of the Issuer to perform its obligations under this Agreement, the Notes or the Issuing and Paying Agent Agreement.</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1.8Except as disclosed in any periodic or current report of the Issuer filed under the EDGAR system of the SEC, there is no litigation or governmental proceeding pending, or to the knowledge of the Issuer threatened, against or affecting the Issuer or any of its subsidiaries, which, if adversely determined, could reasonably be expected to have a material adverse effect on the business, results of operations or financial condition of the Issuer and its subsidiaries, taken as a whole or the ability of the Issuer to perform its obligations under this Agreement, the Notes or the Issuing and Paying Agent Agreement.</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 xml:space="preserve">1.9The Issuer is not an “investment company” within the meaning of the Investment Company Act of 1940, as amended. </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1.10Neither the Private Placement Memorandum (excluding Dealer Information) nor the Company Information contains any untrue statement of a material fact or omits to state a material fact required to be stated therein or necessary to make the statements therein, in light of the circumstances under which they were made, not misleading.</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1.11Neither the Issuer nor any of its subsidiaries nor any director or officer of the Issuer or any of its subsidiaries, nor, to the knowledge of the Issuer, any controlled affiliate, or agent, employee or representative of the Issuer or any of its subsidiaries or affiliates (i) has used any corporate funds for any unlawful contribution, gift, entertainment or other unlawful expense relating to political activity; (ii) has made any direct or indirect unlawful contribution or payment to any official of, or candidate for, or any employee of, any federal, state or foreign office; (iii) has made any bribe, unlawful rebate, payoff, influence payment, kickback or other unlawful payment; or (iv) is in violation of any law, rule, or regulation of any jurisdiction applicable to the Issuer or its subsidiaries from time to time concerning or relating to bribery or corruption, including the U.S. Foreign Corrupt Practices Act of 1977 and the U.K. Bribery Act of 2010 (collectively, the “Anti-Corruption Laws”). The Issuer and its subsidiaries and affiliates have each conducted their businesses in all material respects in compliance with applicable Anti-Corruption Laws and have instituted and maintain and will continue to maintain policies and procedures designed to promote and achieve compliance with all applicable Anti-Corruption Laws.</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 xml:space="preserve">1.12The operations of the Issuer and its subsidiaries are and have been conducted at all times in material compliance with applicable financial recordkeeping and reporting requirements, including, without limitation, those of the Currency and Foreign Transactions Reporting Act of 1970, as amended (including by Title III of the Uniting and Strengthening America by Providing Appropriate Tools Required to Intercept and Obstruct Terrorism Act of 2001), and the applicable money laundering laws of jurisdictions where the Issuer and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conduct business,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Issuer or any of its subsidiaries with respect to the Money Laundering Laws is pending or, to the best knowledge of the Issuer, threatened.</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1.13Neither the Issuer nor any of its subsidiaries nor any director or officer of the Issuer or any of its subsidiaries, nor, to the knowledge of the Issuer, any controlled affiliate, or agent, employee or representative of the Issuer or any of its subsidiaries is currently the subject or target of any sanctions administered or imposed by the United States (including any administered or enforced by the Office of Foreign Assets Control of the U.S. Treasury Department or the U.S. Department of State), the United Nations Security Council, the European Union, or the United Kingdom (including sanctions administered or enforced by His Majesty’s Treasury) or other relevant sanctions authority except as disclosed to the Dealer in writing (which disclosure shall be satisfied by disclosure in any periodic or current report of the Issuer filed under the EDGAR system of the SEC and the Issuer has directed the Dealer to such disclosure on the EDGAR system of the SEC) (collectively, “Sanctions” and such persons, “Sanctioned Persons”); and the Issuer will not, directly or (to its knowledge) indirectly, use the proceeds of the Notes, or lend, contribute or otherwise make available such proceeds to any subsidiary, joint venture partner or other person (i) to fund or facilitate any unlawful activities or business (a) of or with any person that, at the time of such funding or facilitation, is the subject or target of Sanctions, or (b) in any country or territory that, at the time of such funding or facilitation, is, or whose government is, the subject or target of Sanctions (collectively, “Sanctioned Countries” and each, a “Sanctioned Country”), or (ii) in any manner that will result in a violation of any Sanctions by any person (including any person participating in the offering of Notes, whether as dealer, advisor, investor or otherwise).</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 xml:space="preserve">1.14The Issuer’s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Issuer and its subsidiaries as currently conducted, free and clear, to the knowledge of the Issuer, of all material bugs, errors, defects, Trojan horses, time bombs, malware and other corruptants; the Issuer and its subsidiaries have implemented and maintained reasonable controls, policies, procedures, and safeguards to maintain and protect their material confidential information and the integrity, continuous operation, redundancy and security of all IT Systems and data and information (including all personal, personally identifiable, sensitive, confidential or regulated data (“Personal Data”)) used in connection with their businesses, and, to the knowledge of the Issuer, there have been no material breaches, violations, outages or unauthorized uses of or accesses to the same, except for those that have been remedied without material cost or liability or the duty to notify any other person, nor any material incidents under internal review or investigations relating to the same; the Issuer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security of the IT Systems or the privacy or security of Personal Data and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protection of such IT Systems and Personal Data from unauthorized use, access, misappropriation or modification; </w:t>
      </w:r>
    </w:p>
    <w:p>
      <w:pPr>
        <w:pStyle w:val="TextBody"/>
        <w:bidi w:val="0"/>
        <w:spacing w:lineRule="atLeast" w:line="280" w:before="120" w:after="16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1.15Each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 given by the Issuer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(iii) in the case of an issuance of Notes, since the date of the most recent Private Placement Memorandum, no development or event has occurred that has had, or could reasonably be expected to have, a material adverse effect on the business, results of operations or financial condition of the Issuer and its subsidiaries, taken as a whole or the ability of the Issuer to perform its obligations under this Agreement, the Notes or the Issuing and Paying Agent Agreement, which has not been disclosed to the Dealer in writing and (iv) the Issuer is not in default of any of its obligations hereunder or under the Notes or the Issuing and Paying Agent Agreement.</w:t>
      </w:r>
    </w:p>
    <w:p>
      <w:pPr>
        <w:pStyle w:val="TextBody"/>
        <w:bidi w:val="0"/>
        <w:spacing w:lineRule="atLeast" w:line="280" w:before="240" w:after="283"/>
        <w:ind w:left="0" w:right="0" w:hanging="360"/>
        <w:jc w:val="left"/>
        <w:rPr>
          <w:rFonts w:ascii="Times New Roman;serif" w:hAnsi="Times New Roman;serif"/>
          <w:b/>
          <w:color w:val="000000"/>
          <w:sz w:val="24"/>
        </w:rPr>
      </w:pPr>
      <w:r>
        <w:rPr>
          <w:rFonts w:ascii="Times New Roman;serif" w:hAnsi="Times New Roman;serif"/>
          <w:b/>
          <w:color w:val="000000"/>
          <w:sz w:val="24"/>
        </w:rPr>
        <w:t>3.Covenants and Agreements of Issuer.</w:t>
      </w:r>
    </w:p>
    <w:p>
      <w:pPr>
        <w:pStyle w:val="TextBody"/>
        <w:bidi w:val="0"/>
        <w:spacing w:lineRule="atLeast" w:line="280" w:before="0" w:after="160"/>
        <w:jc w:val="left"/>
        <w:rPr>
          <w:color w:val="000000"/>
        </w:rPr>
      </w:pPr>
      <w:r>
        <w:rPr>
          <w:color w:val="000000"/>
        </w:rPr>
        <w:t>    </w:t>
      </w:r>
      <w:r>
        <w:rPr>
          <w:rFonts w:ascii="Times New Roman;serif" w:hAnsi="Times New Roman;serif"/>
          <w:b w:val="false"/>
          <w:color w:val="000000"/>
          <w:sz w:val="22"/>
        </w:rPr>
        <w:t>The Issuer covenants and agrees that:</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 xml:space="preserve">3.1The Issuer will give the Dealer prompt notice (but in any event prior to any subsequent issuance of Notes hereunder) of any amendment to, modification of or waiver with respect to, the Notes or the Issuing and Paying Agent Agreement, including a complete copy of any such amendment, modification or waiver. </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3.2The Issuer shall, whenever there shall occur any change in the condition (financial or otherwise) or operations of the Issuer and its subsidiaries, taken as a whole, or any development or occurrence in relation to the Issuer that would be material and adverse to holders of the Notes or potential holders of the Notes (including any downgrading or receipt of any notice of intended or potential downgrading or any review for potential change in the rating accorded any of the Issuer’s securities by any nationally recognized statistical rating organization which has published a rating of the Notes), promptly, and in any event prior to any subsequent issuance of Notes hereunder, notify the Dealer (by telephone, confirmed in writing) of such change, development or occurrence.</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 xml:space="preserve">3.3The Issuer shall from time to time furnish to the Dealer such information as the Dealer may reasonably request, including, without limitation, any press releases or material provided by the Issuer to any national securities exchange or rating agency, regarding (i) the Issuer’s operations and financial condition, (ii) the due authorization and execution of the Notes and (iii) the Issuer’s ability to pay the Notes as they mature; provided, that the public filing of information with the EDGAR system of the SEC shall be deemed to satisfy the requirements of this Section 3.3 with respect to such publicly filed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 xml:space="preserve">3.4The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 </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3.5The Issuer will not be in default of any of its obligations under the Notes or any of its material obligations hereunder or under the Issuing and Paying Agent Agreement, at any time that any of the Notes are outstanding.</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3.6The Issuer shall not issue Notes hereunder until the Dealer shall have received (a) an opinion of counsel to the Issuer, addressed to the Dealer, reasonably satisfactory in form and substance to the Dealer, (b) a copy of the executed Issuing and Paying Agent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Agent Agreement and the Notes and consummation by the Issuer of the transactions contemplated hereby and thereby, (d) a certificate of the secretary, assistant secretary or other designated officer of the Issuer certifying as to (i) the Issuer’s organizational documents, and attaching true, correct and complete copies thereof, (ii) the Issuer’s representations and warranties being true and correct in all material respects, and (iii) the incumbency of the officers of the Issuer authorized to execute and deliver this Agreement, the Issuing and Paying Agent Agreement and the Notes, and take other action on behalf of the Issuer in connection with the transactions contemplated hereby and thereby, (e) prior to the issuance of any book-entry Notes represented by a Master Note, a copy of the executed Letter of Representations among the Issuer, the Issuing and Paying Agent and DTC and of each executed Master Note, (f) prior to the issuance of any Notes in physical form, a copy of such form (unless attached to this Agreement or the Issuing and Paying Agent Agreement), (g) confirmation of the then current rating assigned to the Notes by each nationally recognized statistical rating organization then rating the Notes, (h) a properly completed and signed IRS Form W-8 or W-9, as applicable, for the Issuer, (i) all information regarding beneficial ownership required by 31 C.F.R. §1010.230, including a completed form promulgated by the Securities Industry and Financial Markets Association to facilitate compliance with the requirements of the Financial Crimes Enforcement Network, and (j) such other certificates, opinions, letters and documents as the Dealer shall have reasonably requested.</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3.7The Issuer shall reimburse the Dealer for all of the Dealer’s reasonable and documented out-of-pocket expenses related to this Agreement, including expenses incurred in connection with its preparation and negotiation, and the transactions contemplated hereby (including, but not limited to, the printing and distribution of the Private Placement Memorandum), and for the reasonable and documented fees and out-of-pocket expenses of the Dealer’s counsel.</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3.8The Issuer shall not file a Form D (as referenced in Rule 503 under the Securities Act) at any time in respect of the offer or sale of the Notes.</w:t>
      </w:r>
    </w:p>
    <w:p>
      <w:pPr>
        <w:pStyle w:val="TextBody"/>
        <w:bidi w:val="0"/>
        <w:spacing w:lineRule="atLeast" w:line="280" w:before="120" w:after="160"/>
        <w:ind w:left="0" w:right="0" w:hanging="432"/>
        <w:jc w:val="left"/>
        <w:rPr>
          <w:rFonts w:ascii="Times New Roman;serif" w:hAnsi="Times New Roman;serif"/>
          <w:b w:val="false"/>
          <w:color w:val="000000"/>
          <w:sz w:val="22"/>
        </w:rPr>
      </w:pPr>
      <w:r>
        <w:rPr>
          <w:rFonts w:ascii="Times New Roman;serif" w:hAnsi="Times New Roman;serif"/>
          <w:b w:val="false"/>
          <w:color w:val="000000"/>
          <w:sz w:val="22"/>
        </w:rPr>
        <w:t xml:space="preserve">3.9Without limiting any obligation of the Issuer pursuant to this Agreement to provide the Dealer with credit and financial information, the Issuer hereby acknowledges and agrees that the Dealer may share the Company Information and any other information or matters relating to the Issuer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or the transactions contemplated hereby with affiliates of the Dealer, and that such affiliates may likewise share information relating to the Issuer or such transactions with the Dealer.</w:t>
      </w:r>
    </w:p>
    <w:p>
      <w:pPr>
        <w:pStyle w:val="TextBody"/>
        <w:bidi w:val="0"/>
        <w:spacing w:lineRule="atLeast" w:line="280" w:before="240" w:after="283"/>
        <w:ind w:left="0" w:right="0" w:hanging="360"/>
        <w:jc w:val="left"/>
        <w:rPr>
          <w:rFonts w:ascii="Times New Roman;serif" w:hAnsi="Times New Roman;serif"/>
          <w:b/>
          <w:color w:val="000000"/>
          <w:sz w:val="24"/>
        </w:rPr>
      </w:pPr>
      <w:r>
        <w:rPr>
          <w:rFonts w:ascii="Times New Roman;serif" w:hAnsi="Times New Roman;serif"/>
          <w:b/>
          <w:color w:val="000000"/>
          <w:sz w:val="24"/>
        </w:rPr>
        <w:t>4.Disclosure.</w:t>
      </w:r>
    </w:p>
    <w:p>
      <w:pPr>
        <w:pStyle w:val="TextBody"/>
        <w:bidi w:val="0"/>
        <w:spacing w:lineRule="atLeast" w:line="280" w:before="0" w:after="16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4.1The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pStyle w:val="TextBody"/>
        <w:bidi w:val="0"/>
        <w:spacing w:lineRule="atLeast" w:line="280" w:before="0" w:after="16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 xml:space="preserve">4.2The Issuer agrees to promptly furnish the Dealer the Company Information as it becomes available; provided, that the public filing of any such information with the EDGAR system of the SEC shall be deemed to satisfy the requirements of this Section 4.2 with respect to such publicly filed information. </w:t>
      </w:r>
    </w:p>
    <w:p>
      <w:pPr>
        <w:pStyle w:val="TextBody"/>
        <w:bidi w:val="0"/>
        <w:spacing w:lineRule="atLeast" w:line="280" w:before="0" w:after="16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 xml:space="preserve">4.3(a) The Issuer further agrees to notify the Dealer promptly upon the occurrence of any event relating to or affecting the Issuer that would cause the Company Information then in existence to include an untrue statement of a material fact or to omit to state a material fact necessary in order to make the statements contained therein, in light of the circumstances under which they are made, not misleading. </w:t>
      </w:r>
    </w:p>
    <w:p>
      <w:pPr>
        <w:pStyle w:val="TextBody"/>
        <w:bidi w:val="0"/>
        <w:spacing w:lineRule="atLeast" w:line="280" w:before="0" w:after="160"/>
        <w:jc w:val="left"/>
        <w:rPr>
          <w:rFonts w:ascii="Times New Roman;serif" w:hAnsi="Times New Roman;serif"/>
          <w:b w:val="false"/>
          <w:color w:val="000000"/>
          <w:sz w:val="22"/>
        </w:rPr>
      </w:pPr>
      <w:r>
        <w:rPr>
          <w:rFonts w:ascii="Times New Roman;serif" w:hAnsi="Times New Roman;serif"/>
          <w:b w:val="false"/>
          <w:color w:val="000000"/>
          <w:sz w:val="22"/>
        </w:rPr>
        <w:t>(b)In the event that the Issuer gives the Dealer notice pursuant to Section 4.3(a) and (i) the Issuer is selling Notes in accordance with Section 1, (ii) the Dealer notifies the Issuer that it then has Notes it is holding in inventory, or (iii) any Notes are otherwise outstanding, the Issuer agrees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pStyle w:val="TextBody"/>
        <w:bidi w:val="0"/>
        <w:spacing w:lineRule="atLeast" w:line="280" w:before="0" w:after="160"/>
        <w:jc w:val="left"/>
        <w:rPr>
          <w:rFonts w:ascii="Times New Roman;serif" w:hAnsi="Times New Roman;serif"/>
          <w:b w:val="false"/>
          <w:color w:val="000000"/>
          <w:sz w:val="22"/>
        </w:rPr>
      </w:pPr>
      <w:r>
        <w:rPr>
          <w:rFonts w:ascii="Times New Roman;serif" w:hAnsi="Times New Roman;serif"/>
          <w:b w:val="false"/>
          <w:color w:val="000000"/>
          <w:sz w:val="22"/>
        </w:rPr>
        <w:t>(c)In the event that (i) the Issuer gives the Dealer notice pursuant to Section 4.3(a), (ii) (A) the Issuer is not selling Notes in accordance with Section 1, (B) the Dealer does not notify the Issuer that it is then holding Notes in inventory and (C) no Notes are otherwise outstanding, and (iii) the Issuer chooses not to promptly amend or supplement the Private Placement Memorandum in the manner described in clause (b) above, then all solicitations and sales of Notes shall be suspended until such time as the Issuer has so amended or supplemented the Private Placement Memorandum, and made such amendment or supplement available to the Dealer.</w:t>
      </w:r>
    </w:p>
    <w:p>
      <w:pPr>
        <w:pStyle w:val="TextBody"/>
        <w:bidi w:val="0"/>
        <w:spacing w:lineRule="atLeast" w:line="280" w:before="240" w:after="283"/>
        <w:jc w:val="left"/>
        <w:rPr>
          <w:rFonts w:ascii="Times New Roman;serif" w:hAnsi="Times New Roman;serif"/>
          <w:b/>
          <w:color w:val="000000"/>
          <w:sz w:val="24"/>
        </w:rPr>
      </w:pPr>
      <w:r>
        <w:rPr>
          <w:rFonts w:ascii="Times New Roman;serif" w:hAnsi="Times New Roman;serif"/>
          <w:b/>
          <w:color w:val="000000"/>
          <w:sz w:val="24"/>
        </w:rPr>
        <w:t>5.    Indemnification and Contribution.</w:t>
      </w:r>
    </w:p>
    <w:p>
      <w:pPr>
        <w:pStyle w:val="TextBody"/>
        <w:bidi w:val="0"/>
        <w:spacing w:lineRule="atLeast" w:line="280" w:before="0" w:after="160"/>
        <w:ind w:left="0" w:right="0" w:hanging="446"/>
        <w:jc w:val="left"/>
        <w:rPr>
          <w:rFonts w:ascii="Times New Roman;serif" w:hAnsi="Times New Roman;serif"/>
          <w:b w:val="false"/>
          <w:color w:val="000000"/>
          <w:sz w:val="22"/>
        </w:rPr>
      </w:pPr>
      <w:r>
        <w:rPr>
          <w:rFonts w:ascii="Times New Roman;serif" w:hAnsi="Times New Roman;serif"/>
          <w:b w:val="false"/>
          <w:color w:val="000000"/>
          <w:sz w:val="22"/>
        </w:rPr>
        <w:t xml:space="preserve">1.1The Issuer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“Indemnitees”) against any and all liabilities, penalties, suits, causes of action, losses, damages, claims, costs and expenses (including, without limitation, reasonable and documented fees and disbursements of a single external counsel (in addition to one local counsel in the jurisdiction in which any Claim (as defined below) is brought)) or judgments of whatever kind or nature (each a “Claim”),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imposed upon, incurred by or asserted against the Indemnitees arising out of or based upon (i) any allegation that the Private Placement Memorandum, the Company Information or any information provided by the Issuer to the Dealer in connection with the Notes or the Private Placement Memorandum included (as of any relevant time) or includes an untrue statement of a material fact or omitted (as of any relevant time) or omits to state any material fact necessary to make the statements therein, in light of the circumstances under which they were made, not misleading or (ii) the breach by the Issuer of any agreement, covenant or representation made in or pursuant to this Agreement. This indemnification shall not apply to the extent that (x) the Claim arises out of or is based upon Dealer Information or (y) with respect to clause (ii) above only, the Claim shall have been determined in a final non-appealable judgment by a court of competent jurisdiction to have resulted from gross negligence or willful misconduct by the Dealer. </w:t>
      </w:r>
    </w:p>
    <w:p>
      <w:pPr>
        <w:pStyle w:val="TextBody"/>
        <w:bidi w:val="0"/>
        <w:spacing w:lineRule="atLeast" w:line="280" w:before="0" w:after="160"/>
        <w:ind w:left="0" w:right="0" w:hanging="446"/>
        <w:jc w:val="left"/>
        <w:rPr>
          <w:rFonts w:ascii="Times New Roman;serif" w:hAnsi="Times New Roman;serif"/>
          <w:b w:val="false"/>
          <w:color w:val="000000"/>
          <w:sz w:val="22"/>
        </w:rPr>
      </w:pPr>
      <w:r>
        <w:rPr>
          <w:rFonts w:ascii="Times New Roman;serif" w:hAnsi="Times New Roman;serif"/>
          <w:b w:val="false"/>
          <w:color w:val="000000"/>
          <w:sz w:val="22"/>
        </w:rPr>
        <w:t>1.2The Issuer agrees to reimburse each Indemnitee for all expenses (including reasonable and documented fees and disbursements of internal and external counsel) as they are incurred by it in connection with investigating or defending any loss, claim, damage, liability or action in respect of which indemnification may be sought under this Section 5 (whether or not it is a party to any such proceedings).</w:t>
      </w:r>
    </w:p>
    <w:p>
      <w:pPr>
        <w:pStyle w:val="TextBody"/>
        <w:bidi w:val="0"/>
        <w:spacing w:lineRule="atLeast" w:line="280" w:before="0" w:after="160"/>
        <w:ind w:left="0" w:right="0" w:hanging="446"/>
        <w:jc w:val="left"/>
        <w:rPr>
          <w:rFonts w:ascii="Times New Roman;serif" w:hAnsi="Times New Roman;serif"/>
          <w:b w:val="false"/>
          <w:color w:val="000000"/>
          <w:sz w:val="22"/>
        </w:rPr>
      </w:pPr>
      <w:r>
        <w:rPr>
          <w:rFonts w:ascii="Times New Roman;serif" w:hAnsi="Times New Roman;serif"/>
          <w:b w:val="false"/>
          <w:color w:val="000000"/>
          <w:sz w:val="22"/>
        </w:rPr>
        <w:t xml:space="preserve">1.3Promptly after receipt by an Indemnitee of notice of the existence of a Claim, such Indemnitee will, if a claim in respect thereof is to be made against the Issuer, notify the Issuer in writing of the existence thereof; provided that (i) the omission to so notify the Issuer will not relieve the Issuer from any liability which it may have hereunder unless and except to the extent it did not otherwise learn of such Claim and such failure results in the forfeiture by the Issuer of substantial rights and defenses, and (ii) the omission to so notify the Issuer will not relieve it from liability which it may have to an Indemnitee otherwise than on account of this indemnity agreement. In case any such Claim is made against any Indemnitee and it notifies the Issuer of the existence thereof, the Issuer will be entitled to participate therein, and to the extent that it may elect by written notice delivered to the Indemnitee, to assume the defense thereof, with counsel reasonably satisfactory to such Indemnitee; provided that if the defendants in any such Claim include both the Indemnitee and the Issuer, and the Indemnitee shall have concluded that there may be legal defenses available to it which are different from or additional to those available to the Issuer, the Issuer shall not have the right to direct the defense of such Claim on behalf of such Indemnitee, and the Indemnitee shall have the right to select separate counsel to assert such legal defenses on behalf of such Indemnitee. Upon receipt of notice from the Issuer to such Indemnitee of the Issuer’s election to so assume the defense of such Claim and approval by the Indemnitee of counsel, the Issuer will not be liable to such Indemnitee for expenses incurred thereafter by the Indemnitee in connection with the defense thereof (other than reasonable costs of investigation) unless (i) the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the Indemnitee who is party to such Claim), (ii) the Issuer shall not have employed counsel reasonably satisfactory to the Indemnitee to represent the Indemnitee within a reasonable time after notice of existence of the Claim or (iii) the Issuer has authorized in writing the employment of counsel for the Indemnitee. The indemnity, reimbursement and contribution obligations of the Issuer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160"/>
        <w:jc w:val="left"/>
        <w:rPr>
          <w:rFonts w:ascii="Times New Roman;serif" w:hAnsi="Times New Roman;serif"/>
          <w:b w:val="false"/>
          <w:color w:val="000000"/>
          <w:sz w:val="22"/>
        </w:rPr>
      </w:pPr>
      <w:r>
        <w:rPr>
          <w:rFonts w:ascii="Times New Roman;serif" w:hAnsi="Times New Roman;serif"/>
          <w:b w:val="false"/>
          <w:color w:val="000000"/>
          <w:sz w:val="22"/>
        </w:rPr>
        <w:t>shall be in addition to any other liability the Issuer may otherwise have to an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pStyle w:val="TextBody"/>
        <w:bidi w:val="0"/>
        <w:spacing w:lineRule="atLeast" w:line="280" w:before="0" w:after="160"/>
        <w:ind w:left="0" w:right="0" w:hanging="446"/>
        <w:jc w:val="left"/>
        <w:rPr/>
      </w:pPr>
      <w:r>
        <w:rPr>
          <w:rFonts w:ascii="Times New Roman;serif" w:hAnsi="Times New Roman;serif"/>
          <w:b w:val="false"/>
          <w:color w:val="000000"/>
          <w:sz w:val="22"/>
        </w:rPr>
        <w:t>1.4In order to provide for just and equitable contribution in circumstances in which the indemnification provided for in this Section 5 is held to be unavailable or insufficient to hold harmless the Indemnitees, although applicable in accordance with the terms of this Section 5, the Issuer shall contribute to the aggregate costs incurred by the Dealer and its related Indemnitees</w:t>
      </w:r>
      <w:r>
        <w:rPr>
          <w:color w:val="000000"/>
        </w:rPr>
        <w:t xml:space="preserve"> </w:t>
      </w:r>
      <w:r>
        <w:rPr>
          <w:rFonts w:ascii="Times New Roman;serif" w:hAnsi="Times New Roman;serif"/>
          <w:b w:val="false"/>
          <w:color w:val="000000"/>
          <w:sz w:val="22"/>
        </w:rPr>
        <w:t>in connection with any Claim in the proportion of the respective economic interests of the Issuer and the Dealer and its related Indemnitees; provided, however, that such contribution by the Issuer shall be in an amount such that the aggregate costs incurred by the Dealer and its related Indemnitees do not exceed the aggregate of the commissions and fees actually received by the Dealer hereunder with respect to the issue or issues of Notes to which such Claim relates; provided further, that in the event the Dealer is found in a final non-appealable judgment by a court of competent jurisdiction to be guilty of fraudulent misrepresentation (within the meaning of Section 11(f) of the Securities Act) it shall not be entitled to any contribution by the Issuer hereunder. The respective economic interests shall be calculated by reference to the aggregate proceeds to the Issuer of the Notes issued hereunder and the aggregate commissions and fees earned by the Dealer hereunder.</w:t>
      </w:r>
    </w:p>
    <w:p>
      <w:pPr>
        <w:pStyle w:val="TextBody"/>
        <w:bidi w:val="0"/>
        <w:spacing w:lineRule="atLeast" w:line="280" w:before="240" w:after="283"/>
        <w:jc w:val="left"/>
        <w:rPr>
          <w:rFonts w:ascii="Times New Roman;serif" w:hAnsi="Times New Roman;serif"/>
          <w:b/>
          <w:color w:val="000000"/>
          <w:sz w:val="24"/>
        </w:rPr>
      </w:pPr>
      <w:r>
        <w:rPr>
          <w:rFonts w:ascii="Times New Roman;serif" w:hAnsi="Times New Roman;serif"/>
          <w:b/>
          <w:color w:val="000000"/>
          <w:sz w:val="24"/>
        </w:rPr>
        <w:t>6.    Definitions.</w:t>
      </w:r>
    </w:p>
    <w:p>
      <w:pPr>
        <w:pStyle w:val="TextBody"/>
        <w:bidi w:val="0"/>
        <w:spacing w:lineRule="atLeast" w:line="280" w:before="0" w:after="160"/>
        <w:ind w:left="0" w:right="0" w:hanging="450"/>
        <w:jc w:val="left"/>
        <w:rPr/>
      </w:pPr>
      <w:r>
        <w:rPr>
          <w:rFonts w:ascii="Times New Roman;serif" w:hAnsi="Times New Roman;serif"/>
          <w:b w:val="false"/>
          <w:color w:val="000000"/>
          <w:sz w:val="22"/>
        </w:rPr>
        <w:t>1.1</w:t>
      </w:r>
      <w:r>
        <w:rPr>
          <w:color w:val="000000"/>
        </w:rPr>
        <w:t>“</w:t>
      </w:r>
      <w:r>
        <w:rPr>
          <w:rFonts w:ascii="Times New Roman;serif" w:hAnsi="Times New Roman;serif"/>
          <w:b w:val="false"/>
          <w:color w:val="000000"/>
          <w:sz w:val="22"/>
        </w:rPr>
        <w:t>Anti-Corruption Laws” shall have the meaning set forth in Section 2.11.</w:t>
      </w:r>
    </w:p>
    <w:p>
      <w:pPr>
        <w:pStyle w:val="TextBody"/>
        <w:bidi w:val="0"/>
        <w:spacing w:lineRule="atLeast" w:line="280" w:before="0" w:after="160"/>
        <w:ind w:left="0" w:right="0" w:hanging="450"/>
        <w:jc w:val="left"/>
        <w:rPr/>
      </w:pPr>
      <w:r>
        <w:rPr>
          <w:rFonts w:ascii="Times New Roman;serif" w:hAnsi="Times New Roman;serif"/>
          <w:b w:val="false"/>
          <w:color w:val="000000"/>
          <w:sz w:val="22"/>
        </w:rPr>
        <w:t>1.2</w:t>
      </w:r>
      <w:r>
        <w:rPr>
          <w:color w:val="000000"/>
        </w:rPr>
        <w:t>“</w:t>
      </w:r>
      <w:r>
        <w:rPr>
          <w:rFonts w:ascii="Times New Roman;serif" w:hAnsi="Times New Roman;serif"/>
          <w:b w:val="false"/>
          <w:color w:val="000000"/>
          <w:sz w:val="22"/>
        </w:rPr>
        <w:t>BHC Act Affiliate” shall have the meaning assigned to the term “affiliate” in, and shall be interpreted in accordance with, 12 U.S.C. § 1841(k).</w:t>
      </w:r>
    </w:p>
    <w:p>
      <w:pPr>
        <w:pStyle w:val="TextBody"/>
        <w:bidi w:val="0"/>
        <w:spacing w:lineRule="atLeast" w:line="280" w:before="0" w:after="160"/>
        <w:ind w:left="0" w:right="0" w:hanging="446"/>
        <w:jc w:val="left"/>
        <w:rPr/>
      </w:pPr>
      <w:r>
        <w:rPr>
          <w:rFonts w:ascii="Times New Roman;serif" w:hAnsi="Times New Roman;serif"/>
          <w:b w:val="false"/>
          <w:color w:val="000000"/>
          <w:sz w:val="22"/>
        </w:rPr>
        <w:t>1.3</w:t>
      </w:r>
      <w:r>
        <w:rPr>
          <w:color w:val="000000"/>
        </w:rPr>
        <w:t>“</w:t>
      </w:r>
      <w:r>
        <w:rPr>
          <w:rFonts w:ascii="Times New Roman;serif" w:hAnsi="Times New Roman;serif"/>
          <w:b w:val="false"/>
          <w:color w:val="000000"/>
          <w:sz w:val="22"/>
        </w:rPr>
        <w:t>Claim” shall have the meaning set forth in Section 5.1.</w:t>
      </w:r>
    </w:p>
    <w:p>
      <w:pPr>
        <w:pStyle w:val="TextBody"/>
        <w:bidi w:val="0"/>
        <w:spacing w:lineRule="atLeast" w:line="280" w:before="0" w:after="160"/>
        <w:ind w:left="0" w:right="0" w:hanging="446"/>
        <w:jc w:val="left"/>
        <w:rPr/>
      </w:pPr>
      <w:r>
        <w:rPr>
          <w:rFonts w:ascii="Times New Roman;serif" w:hAnsi="Times New Roman;serif"/>
          <w:b w:val="false"/>
          <w:color w:val="000000"/>
          <w:sz w:val="22"/>
        </w:rPr>
        <w:t>1.4</w:t>
      </w:r>
      <w:r>
        <w:rPr>
          <w:color w:val="000000"/>
        </w:rPr>
        <w:t>“</w:t>
      </w:r>
      <w:r>
        <w:rPr>
          <w:rFonts w:ascii="Times New Roman;serif" w:hAnsi="Times New Roman;serif"/>
          <w:b w:val="false"/>
          <w:color w:val="000000"/>
          <w:sz w:val="22"/>
        </w:rPr>
        <w:t>Company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by the Issuer for dissemination to investors or potential investors in the Notes. For the avoidance of doubt, the Company Information shall not include any Dealer Information.</w:t>
      </w:r>
    </w:p>
    <w:p>
      <w:pPr>
        <w:pStyle w:val="TextBody"/>
        <w:bidi w:val="0"/>
        <w:spacing w:lineRule="atLeast" w:line="280" w:before="0" w:after="160"/>
        <w:ind w:left="0" w:right="0" w:hanging="446"/>
        <w:jc w:val="left"/>
        <w:rPr/>
      </w:pPr>
      <w:r>
        <w:rPr>
          <w:rFonts w:ascii="Times New Roman;serif" w:hAnsi="Times New Roman;serif"/>
          <w:b w:val="false"/>
          <w:color w:val="000000"/>
          <w:sz w:val="22"/>
        </w:rPr>
        <w:t>1.5</w:t>
      </w:r>
      <w:r>
        <w:rPr>
          <w:color w:val="000000"/>
        </w:rPr>
        <w:t>“</w:t>
      </w:r>
      <w:r>
        <w:rPr>
          <w:rFonts w:ascii="Times New Roman;serif" w:hAnsi="Times New Roman;serif"/>
          <w:b w:val="false"/>
          <w:color w:val="000000"/>
          <w:sz w:val="22"/>
        </w:rPr>
        <w:t>Covered Entity” shall mean any of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 “covered entity” as that term is defined in, and interpreted in accordance with, 12 C.F.R. § 252.82(b);</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 “covered bank” as that term is defined in, and interpreted in accordance with, 12 C.F.R. § 47.3(b); or</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(c)a “covered FSI” as that term is defined in, and interpreted in accordance with, 12 C.F.R. § 382.2(b).</w:t>
      </w:r>
    </w:p>
    <w:p>
      <w:pPr>
        <w:pStyle w:val="TextBody"/>
        <w:bidi w:val="0"/>
        <w:spacing w:lineRule="atLeast" w:line="280" w:before="120" w:after="160"/>
        <w:ind w:left="0" w:right="0" w:hanging="450"/>
        <w:jc w:val="both"/>
        <w:rPr/>
      </w:pPr>
      <w:r>
        <w:rPr>
          <w:rFonts w:ascii="Times New Roman;serif" w:hAnsi="Times New Roman;serif"/>
          <w:b w:val="false"/>
          <w:color w:val="000000"/>
          <w:sz w:val="22"/>
        </w:rPr>
        <w:t>1.6</w:t>
      </w:r>
      <w:r>
        <w:rPr>
          <w:color w:val="000000"/>
        </w:rPr>
        <w:t>“</w:t>
      </w:r>
      <w:r>
        <w:rPr>
          <w:rFonts w:ascii="Times New Roman;serif" w:hAnsi="Times New Roman;serif"/>
          <w:b w:val="false"/>
          <w:color w:val="000000"/>
          <w:sz w:val="22"/>
        </w:rPr>
        <w:t>Current Issuing and Paying Agent” shall have the meaning set forth in Section 7.9(a).</w:t>
      </w:r>
    </w:p>
    <w:p>
      <w:pPr>
        <w:pStyle w:val="TextBody"/>
        <w:bidi w:val="0"/>
        <w:spacing w:lineRule="atLeast" w:line="280" w:before="120" w:after="160"/>
        <w:ind w:left="0" w:right="0" w:hanging="450"/>
        <w:jc w:val="both"/>
        <w:rPr/>
      </w:pPr>
      <w:r>
        <w:rPr>
          <w:rFonts w:ascii="Times New Roman;serif" w:hAnsi="Times New Roman;serif"/>
          <w:b w:val="false"/>
          <w:color w:val="000000"/>
          <w:sz w:val="22"/>
        </w:rPr>
        <w:t>1.7</w:t>
      </w:r>
      <w:r>
        <w:rPr>
          <w:color w:val="000000"/>
        </w:rPr>
        <w:t>“</w:t>
      </w:r>
      <w:r>
        <w:rPr>
          <w:rFonts w:ascii="Times New Roman;serif" w:hAnsi="Times New Roman;serif"/>
          <w:b w:val="false"/>
          <w:color w:val="000000"/>
          <w:sz w:val="22"/>
        </w:rPr>
        <w:t>Dealer” shall mean the institution designated as “Dealer” on the cover page of this Agreement.</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1.8</w:t>
      </w:r>
      <w:r>
        <w:rPr>
          <w:color w:val="000000"/>
        </w:rPr>
        <w:t>“</w:t>
      </w:r>
      <w:r>
        <w:rPr>
          <w:rFonts w:ascii="Times New Roman;serif" w:hAnsi="Times New Roman;serif"/>
          <w:b w:val="false"/>
          <w:color w:val="000000"/>
          <w:sz w:val="22"/>
        </w:rPr>
        <w:t>Dealer Information” shall mean material concerning the Dealer provided by the Dealer in writing expressly for inclusion in the Private Placement Memorandum.</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1.9</w:t>
      </w:r>
      <w:r>
        <w:rPr>
          <w:color w:val="000000"/>
        </w:rPr>
        <w:t>“</w:t>
      </w:r>
      <w:r>
        <w:rPr>
          <w:rFonts w:ascii="Times New Roman;serif" w:hAnsi="Times New Roman;serif"/>
          <w:b w:val="false"/>
          <w:color w:val="000000"/>
          <w:sz w:val="22"/>
        </w:rPr>
        <w:t>Default Right” shall have the meaning assigned to that term in, and shall be interpreted in accordance with, 12 C.F.R. §§ 252.81, 47.2 or 382.1, as applicable.</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1.10</w:t>
      </w:r>
      <w:r>
        <w:rPr>
          <w:color w:val="000000"/>
        </w:rPr>
        <w:t>“</w:t>
      </w:r>
      <w:r>
        <w:rPr>
          <w:rFonts w:ascii="Times New Roman;serif" w:hAnsi="Times New Roman;serif"/>
          <w:b w:val="false"/>
          <w:color w:val="000000"/>
          <w:sz w:val="22"/>
        </w:rPr>
        <w:t>Exchange Act” shall mean the U.S. Securities Exchange Act of 1934, as amended.</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1.11</w:t>
      </w:r>
      <w:r>
        <w:rPr>
          <w:color w:val="000000"/>
        </w:rPr>
        <w:t>“</w:t>
      </w:r>
      <w:r>
        <w:rPr>
          <w:rFonts w:ascii="Times New Roman;serif" w:hAnsi="Times New Roman;serif"/>
          <w:b w:val="false"/>
          <w:color w:val="000000"/>
          <w:sz w:val="22"/>
        </w:rPr>
        <w:t xml:space="preserve">Face Amount” shall mean (i) with respect to any interest-bearing Note, the principal amount of such Note, and (ii) with respect to any Note sold at a discount, the amount payable with respect to such Note at the maturity thereof. </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1.12</w:t>
      </w:r>
      <w:r>
        <w:rPr>
          <w:color w:val="000000"/>
        </w:rPr>
        <w:t xml:space="preserve"> “</w:t>
      </w:r>
      <w:r>
        <w:rPr>
          <w:rFonts w:ascii="Times New Roman;serif" w:hAnsi="Times New Roman;serif"/>
          <w:b w:val="false"/>
          <w:color w:val="000000"/>
          <w:sz w:val="22"/>
        </w:rPr>
        <w:t>FCPA” shall have the meaning set forth in Section 2.11</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1.13</w:t>
      </w:r>
      <w:r>
        <w:rPr>
          <w:color w:val="000000"/>
        </w:rPr>
        <w:t>“</w:t>
      </w:r>
      <w:r>
        <w:rPr>
          <w:rFonts w:ascii="Times New Roman;serif" w:hAnsi="Times New Roman;serif"/>
          <w:b w:val="false"/>
          <w:color w:val="000000"/>
          <w:sz w:val="22"/>
        </w:rPr>
        <w:t>Indemnitee” shall have the meaning set forth in Section 5.1.</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1.14</w:t>
      </w:r>
      <w:r>
        <w:rPr>
          <w:color w:val="000000"/>
        </w:rPr>
        <w:t>“</w:t>
      </w:r>
      <w:r>
        <w:rPr>
          <w:rFonts w:ascii="Times New Roman;serif" w:hAnsi="Times New Roman;serif"/>
          <w:b w:val="false"/>
          <w:color w:val="000000"/>
          <w:sz w:val="22"/>
        </w:rPr>
        <w:t>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pStyle w:val="TextBody"/>
        <w:bidi w:val="0"/>
        <w:spacing w:lineRule="auto" w:line="288" w:before="0" w:after="0"/>
        <w:ind w:left="0" w:right="0" w:hanging="450"/>
        <w:jc w:val="left"/>
        <w:rPr/>
      </w:pPr>
      <w:r>
        <w:rPr>
          <w:rFonts w:ascii="Times New Roman;serif" w:hAnsi="Times New Roman;serif"/>
          <w:b w:val="false"/>
          <w:color w:val="000000"/>
          <w:sz w:val="22"/>
        </w:rPr>
        <w:t>1.15</w:t>
      </w:r>
      <w:r>
        <w:rPr>
          <w:color w:val="000000"/>
        </w:rPr>
        <w:t>“</w:t>
      </w:r>
      <w:r>
        <w:rPr>
          <w:rFonts w:ascii="Times New Roman;serif" w:hAnsi="Times New Roman;serif"/>
          <w:b w:val="false"/>
          <w:color w:val="000000"/>
          <w:sz w:val="22"/>
        </w:rPr>
        <w:t>Issuer” shall mean the entity designated as the “Issuer” on the cover page of this Agreement.</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1.16</w:t>
      </w:r>
      <w:r>
        <w:rPr>
          <w:color w:val="000000"/>
        </w:rPr>
        <w:t>“</w:t>
      </w:r>
      <w:r>
        <w:rPr>
          <w:rFonts w:ascii="Times New Roman;serif" w:hAnsi="Times New Roman;serif"/>
          <w:b w:val="false"/>
          <w:color w:val="000000"/>
          <w:sz w:val="22"/>
        </w:rPr>
        <w:t>Issuing and Paying Agent Agreement” shall mean the Issuing and Paying Agent Agreement described on the cover page of this Agreement, or any replacement thereof, as such agreement may be amended or supplemented from time to time.</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1.17</w:t>
      </w:r>
      <w:r>
        <w:rPr>
          <w:color w:val="000000"/>
        </w:rPr>
        <w:t>“</w:t>
      </w:r>
      <w:r>
        <w:rPr>
          <w:rFonts w:ascii="Times New Roman;serif" w:hAnsi="Times New Roman;serif"/>
          <w:b w:val="false"/>
          <w:color w:val="000000"/>
          <w:sz w:val="22"/>
        </w:rPr>
        <w:t>Issuing and Paying Agent” shall mean the party designated as such on the cover page of this Agreement, or any successor thereto or replacement thereof, as issuing and paying agent under the Issuing and Paying Agent Agreement.</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1.18</w:t>
      </w:r>
      <w:r>
        <w:rPr>
          <w:color w:val="000000"/>
        </w:rPr>
        <w:t>“</w:t>
      </w:r>
      <w:r>
        <w:rPr>
          <w:rFonts w:ascii="Times New Roman;serif" w:hAnsi="Times New Roman;serif"/>
          <w:b w:val="false"/>
          <w:color w:val="000000"/>
          <w:sz w:val="22"/>
        </w:rPr>
        <w:t>IT Systems” shall have the meaning set forth in Section 2.14.</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1.19</w:t>
      </w:r>
      <w:r>
        <w:rPr>
          <w:color w:val="000000"/>
        </w:rPr>
        <w:t>“</w:t>
      </w:r>
      <w:r>
        <w:rPr>
          <w:rFonts w:ascii="Times New Roman;serif" w:hAnsi="Times New Roman;serif"/>
          <w:b w:val="false"/>
          <w:color w:val="000000"/>
          <w:sz w:val="22"/>
        </w:rPr>
        <w:t>Master Note” shall have the meaning set forth in Section 1.4.</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1.20</w:t>
      </w:r>
      <w:r>
        <w:rPr>
          <w:color w:val="000000"/>
        </w:rPr>
        <w:t>“</w:t>
      </w:r>
      <w:r>
        <w:rPr>
          <w:rFonts w:ascii="Times New Roman;serif" w:hAnsi="Times New Roman;serif"/>
          <w:b w:val="false"/>
          <w:color w:val="000000"/>
          <w:sz w:val="22"/>
        </w:rPr>
        <w:t xml:space="preserve">Maximum Amount” shall mean the maximum of the aggregate Face Amount of the Issuer’s Notes permitted to be outstanding under the Program at any time (whether sold through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Dealer or Other Dealers), which such aggregate Face Amount shall equal $1,000,000,000, unless such amount is increased by the Issuer in accordance with Section 1.8 hereof.</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1.21</w:t>
      </w:r>
      <w:r>
        <w:rPr>
          <w:color w:val="000000"/>
        </w:rPr>
        <w:t>“</w:t>
      </w:r>
      <w:r>
        <w:rPr>
          <w:rFonts w:ascii="Times New Roman;serif" w:hAnsi="Times New Roman;serif"/>
          <w:b w:val="false"/>
          <w:color w:val="000000"/>
          <w:sz w:val="22"/>
        </w:rPr>
        <w:t>Money Laundering Laws” shall have the meaning set forth in Section 2.12.</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1.22</w:t>
      </w:r>
      <w:r>
        <w:rPr>
          <w:color w:val="000000"/>
        </w:rPr>
        <w:t>“</w:t>
      </w:r>
      <w:r>
        <w:rPr>
          <w:rFonts w:ascii="Times New Roman;serif" w:hAnsi="Times New Roman;serif"/>
          <w:b w:val="false"/>
          <w:color w:val="000000"/>
          <w:sz w:val="22"/>
        </w:rPr>
        <w:t>Non-bank fiduciary or agent” shall mean a fiduciary or agent other than (a) a bank, as defined in Section 3(a)(2) of the Securities Act, or (b) a savings and loan association, as defined in Section 3(a)(5)(A) of the Securities Act.</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1.23</w:t>
      </w:r>
      <w:r>
        <w:rPr>
          <w:color w:val="000000"/>
        </w:rPr>
        <w:t>“</w:t>
      </w:r>
      <w:r>
        <w:rPr>
          <w:rFonts w:ascii="Times New Roman;serif" w:hAnsi="Times New Roman;serif"/>
          <w:b w:val="false"/>
          <w:color w:val="000000"/>
          <w:sz w:val="22"/>
        </w:rPr>
        <w:t>Other Dealer” and “Other Dealers” shall have the meanings set forth in Section 1.2.</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1.24</w:t>
      </w:r>
      <w:r>
        <w:rPr>
          <w:color w:val="000000"/>
        </w:rPr>
        <w:t>“</w:t>
      </w:r>
      <w:r>
        <w:rPr>
          <w:rFonts w:ascii="Times New Roman;serif" w:hAnsi="Times New Roman;serif"/>
          <w:b w:val="false"/>
          <w:color w:val="000000"/>
          <w:sz w:val="22"/>
        </w:rPr>
        <w:t>Outstanding Notes” shall have the meaning set forth in Section 7.9(b).</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1.25</w:t>
      </w:r>
      <w:r>
        <w:rPr>
          <w:color w:val="000000"/>
        </w:rPr>
        <w:t>“</w:t>
      </w:r>
      <w:r>
        <w:rPr>
          <w:rFonts w:ascii="Times New Roman;serif" w:hAnsi="Times New Roman;serif"/>
          <w:b w:val="false"/>
          <w:color w:val="000000"/>
          <w:sz w:val="22"/>
        </w:rPr>
        <w:t>Personal Data” shall have the meaning set forth in Section 2.14.</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1.26</w:t>
      </w:r>
      <w:r>
        <w:rPr>
          <w:color w:val="000000"/>
        </w:rPr>
        <w:t>“</w:t>
      </w:r>
      <w:r>
        <w:rPr>
          <w:rFonts w:ascii="Times New Roman;serif" w:hAnsi="Times New Roman;serif"/>
          <w:b w:val="false"/>
          <w:color w:val="000000"/>
          <w:sz w:val="22"/>
        </w:rPr>
        <w:t>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pStyle w:val="TextBody"/>
        <w:bidi w:val="0"/>
        <w:spacing w:lineRule="atLeast" w:line="280" w:before="120" w:after="160"/>
        <w:ind w:left="0" w:right="0" w:hanging="450"/>
        <w:jc w:val="left"/>
        <w:rPr/>
      </w:pPr>
      <w:r>
        <w:rPr>
          <w:rFonts w:ascii="Times New Roman;serif" w:hAnsi="Times New Roman;serif"/>
          <w:b w:val="false"/>
          <w:color w:val="000000"/>
          <w:sz w:val="22"/>
        </w:rPr>
        <w:t>1.27</w:t>
      </w:r>
      <w:r>
        <w:rPr>
          <w:color w:val="000000"/>
        </w:rPr>
        <w:t>“</w:t>
      </w:r>
      <w:r>
        <w:rPr>
          <w:rFonts w:ascii="Times New Roman;serif" w:hAnsi="Times New Roman;serif"/>
          <w:b w:val="false"/>
          <w:color w:val="000000"/>
          <w:sz w:val="22"/>
        </w:rPr>
        <w:t>Program” shall mean the commercial paper program of the Issuer as contemplated by this Agreement and the Issuing and Paying Agent Agreement.</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1.28</w:t>
      </w:r>
      <w:r>
        <w:rPr>
          <w:color w:val="000000"/>
        </w:rPr>
        <w:t>“</w:t>
      </w:r>
      <w:r>
        <w:rPr>
          <w:rFonts w:ascii="Times New Roman;serif" w:hAnsi="Times New Roman;serif"/>
          <w:b w:val="false"/>
          <w:color w:val="000000"/>
          <w:sz w:val="22"/>
        </w:rPr>
        <w:t>Qualified Institutional Buyer” shall have the meaning assigned to that term in Rule 144A.</w:t>
      </w:r>
    </w:p>
    <w:p>
      <w:pPr>
        <w:pStyle w:val="TextBody"/>
        <w:bidi w:val="0"/>
        <w:spacing w:lineRule="atLeast" w:line="280" w:before="120" w:after="160"/>
        <w:ind w:left="0" w:right="0" w:hanging="450"/>
        <w:jc w:val="both"/>
        <w:rPr/>
      </w:pPr>
      <w:r>
        <w:rPr>
          <w:rFonts w:ascii="Times New Roman;serif" w:hAnsi="Times New Roman;serif"/>
          <w:b w:val="false"/>
          <w:color w:val="000000"/>
          <w:sz w:val="22"/>
        </w:rPr>
        <w:t>1.29</w:t>
      </w:r>
      <w:r>
        <w:rPr>
          <w:color w:val="000000"/>
        </w:rPr>
        <w:t>“</w:t>
      </w:r>
      <w:r>
        <w:rPr>
          <w:rFonts w:ascii="Times New Roman;serif" w:hAnsi="Times New Roman;serif"/>
          <w:b w:val="false"/>
          <w:color w:val="000000"/>
          <w:sz w:val="22"/>
        </w:rPr>
        <w:t>Replacement” shall have the meaning set forth in Section 7.9(a).</w:t>
      </w:r>
    </w:p>
    <w:p>
      <w:pPr>
        <w:pStyle w:val="TextBody"/>
        <w:bidi w:val="0"/>
        <w:spacing w:lineRule="atLeast" w:line="280" w:before="120" w:after="160"/>
        <w:ind w:left="0" w:right="0" w:hanging="450"/>
        <w:jc w:val="both"/>
        <w:rPr/>
      </w:pPr>
      <w:r>
        <w:rPr>
          <w:rFonts w:ascii="Times New Roman;serif" w:hAnsi="Times New Roman;serif"/>
          <w:b w:val="false"/>
          <w:color w:val="000000"/>
          <w:sz w:val="22"/>
        </w:rPr>
        <w:t>1.30</w:t>
      </w:r>
      <w:r>
        <w:rPr>
          <w:color w:val="000000"/>
        </w:rPr>
        <w:t>“</w:t>
      </w:r>
      <w:r>
        <w:rPr>
          <w:rFonts w:ascii="Times New Roman;serif" w:hAnsi="Times New Roman;serif"/>
          <w:b w:val="false"/>
          <w:color w:val="000000"/>
          <w:sz w:val="22"/>
        </w:rPr>
        <w:t>Replacement Issuing and Paying Agent” shall have the meaning set forth in Section 7.9(a).</w:t>
      </w:r>
    </w:p>
    <w:p>
      <w:pPr>
        <w:pStyle w:val="TextBody"/>
        <w:bidi w:val="0"/>
        <w:spacing w:lineRule="atLeast" w:line="280" w:before="120" w:after="160"/>
        <w:ind w:left="0" w:right="0" w:hanging="450"/>
        <w:jc w:val="both"/>
        <w:rPr/>
      </w:pPr>
      <w:r>
        <w:rPr>
          <w:rFonts w:ascii="Times New Roman;serif" w:hAnsi="Times New Roman;serif"/>
          <w:b w:val="false"/>
          <w:color w:val="000000"/>
          <w:sz w:val="22"/>
        </w:rPr>
        <w:t>1.31</w:t>
      </w:r>
      <w:r>
        <w:rPr>
          <w:color w:val="000000"/>
        </w:rPr>
        <w:t>“</w:t>
      </w:r>
      <w:r>
        <w:rPr>
          <w:rFonts w:ascii="Times New Roman;serif" w:hAnsi="Times New Roman;serif"/>
          <w:b w:val="false"/>
          <w:color w:val="000000"/>
          <w:sz w:val="22"/>
        </w:rPr>
        <w:t>Replacement Issuing and Paying Agent Agreement” shall have the meaning set forth in Section 7.9(a).</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1.32</w:t>
      </w:r>
      <w:r>
        <w:rPr>
          <w:color w:val="000000"/>
        </w:rPr>
        <w:t>“</w:t>
      </w:r>
      <w:r>
        <w:rPr>
          <w:rFonts w:ascii="Times New Roman;serif" w:hAnsi="Times New Roman;serif"/>
          <w:b w:val="false"/>
          <w:color w:val="000000"/>
          <w:sz w:val="22"/>
        </w:rPr>
        <w:t>Rule 144A” shall mean Rule 144A under the Securities Act.</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1.33</w:t>
      </w:r>
      <w:r>
        <w:rPr>
          <w:color w:val="000000"/>
        </w:rPr>
        <w:t>“</w:t>
      </w:r>
      <w:r>
        <w:rPr>
          <w:rFonts w:ascii="Times New Roman;serif" w:hAnsi="Times New Roman;serif"/>
          <w:b w:val="false"/>
          <w:color w:val="000000"/>
          <w:sz w:val="22"/>
        </w:rPr>
        <w:t>Sanctioned Countries” and “Sanctioned Country” shall have the meanings set forth in Section 2.13.</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1.34</w:t>
      </w:r>
      <w:r>
        <w:rPr>
          <w:color w:val="000000"/>
        </w:rPr>
        <w:t>“</w:t>
      </w:r>
      <w:r>
        <w:rPr>
          <w:rFonts w:ascii="Times New Roman;serif" w:hAnsi="Times New Roman;serif"/>
          <w:b w:val="false"/>
          <w:color w:val="000000"/>
          <w:sz w:val="22"/>
        </w:rPr>
        <w:t>Sanctioned Persons” shall have the meaning set forth in Section 2.13.</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1.35</w:t>
      </w:r>
      <w:r>
        <w:rPr>
          <w:color w:val="000000"/>
        </w:rPr>
        <w:t>“</w:t>
      </w:r>
      <w:r>
        <w:rPr>
          <w:rFonts w:ascii="Times New Roman;serif" w:hAnsi="Times New Roman;serif"/>
          <w:b w:val="false"/>
          <w:color w:val="000000"/>
          <w:sz w:val="22"/>
        </w:rPr>
        <w:t>Sanctions” shall have the meaning set forth in Section 2.13.</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1.36</w:t>
      </w:r>
      <w:r>
        <w:rPr>
          <w:color w:val="000000"/>
        </w:rPr>
        <w:t>“</w:t>
      </w:r>
      <w:r>
        <w:rPr>
          <w:rFonts w:ascii="Times New Roman;serif" w:hAnsi="Times New Roman;serif"/>
          <w:b w:val="false"/>
          <w:color w:val="000000"/>
          <w:sz w:val="22"/>
        </w:rPr>
        <w:t>SEC” shall mean the U.S. Securities and Exchange Commission.</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1.37</w:t>
      </w:r>
      <w:r>
        <w:rPr>
          <w:color w:val="000000"/>
        </w:rPr>
        <w:t>“</w:t>
      </w:r>
      <w:r>
        <w:rPr>
          <w:rFonts w:ascii="Times New Roman;serif" w:hAnsi="Times New Roman;serif"/>
          <w:b w:val="false"/>
          <w:color w:val="000000"/>
          <w:sz w:val="22"/>
        </w:rPr>
        <w:t>Securities Act” shall mean the U.S. Securities Act of 1933, as amended.</w:t>
      </w:r>
    </w:p>
    <w:p>
      <w:pPr>
        <w:pStyle w:val="TextBody"/>
        <w:bidi w:val="0"/>
        <w:spacing w:lineRule="atLeast" w:line="280" w:before="120" w:after="160"/>
        <w:ind w:left="0" w:right="0" w:hanging="540"/>
        <w:jc w:val="left"/>
        <w:rPr/>
      </w:pPr>
      <w:r>
        <w:rPr>
          <w:rFonts w:ascii="Times New Roman;serif" w:hAnsi="Times New Roman;serif"/>
          <w:b w:val="false"/>
          <w:color w:val="000000"/>
          <w:sz w:val="22"/>
        </w:rPr>
        <w:t>1.38</w:t>
      </w:r>
      <w:r>
        <w:rPr>
          <w:color w:val="000000"/>
        </w:rPr>
        <w:t>“</w:t>
      </w:r>
      <w:r>
        <w:rPr>
          <w:rFonts w:ascii="Times New Roman;serif" w:hAnsi="Times New Roman;serif"/>
          <w:b w:val="false"/>
          <w:color w:val="000000"/>
          <w:sz w:val="22"/>
        </w:rPr>
        <w:t>U.S. Special Resolution Regime” shall mean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pPr>
      <w:r>
        <w:rPr>
          <w:rFonts w:ascii="Times New Roman;serif" w:hAnsi="Times New Roman;serif"/>
          <w:b w:val="false"/>
          <w:color w:val="000000"/>
          <w:sz w:val="22"/>
        </w:rPr>
        <w:t>7.    </w:t>
      </w:r>
      <w:r>
        <w:rPr>
          <w:rFonts w:ascii="Times New Roman;serif" w:hAnsi="Times New Roman;serif"/>
          <w:b/>
          <w:color w:val="000000"/>
          <w:sz w:val="22"/>
        </w:rPr>
        <w:t xml:space="preserve">General </w:t>
      </w:r>
    </w:p>
    <w:p>
      <w:pPr>
        <w:pStyle w:val="TextBody"/>
        <w:bidi w:val="0"/>
        <w:spacing w:lineRule="atLeast" w:line="280" w:before="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1.1Unless otherwise expressly provided herein, all notices under this Agreement to parties hereto shall be in writing and shall be effective when received at the address of the respective party set forth in the Addendum to this Agreement.</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1.2This Agreement shall be governed by and construed in accordance with the laws of the State of New York, without regard to its conflict of laws provisions.</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1.3(a) Each party agrees that any suit, action or proceeding brought by one party against the other party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AND THE ISSUER WAIVES ITS RIGHT TO TRIAL BY JURY IN ANY SUIT, ACTION OR PROCEEDING WITH RESPECT TO THIS AGREEMENT OR THE TRANSACTIONS CONTEMPLATED HEREBY.</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 Each party hereby irrevocably accepts and submits to the non-exclusive jurisdiction of each of the courts referenced in Section 7.3(a) in personam, generally and unconditionally, for itself and in respect of its properties, assets and revenues, with respect to any suit, action or proceeding in connection with or arising out of this Agreement or the Notes or the offer and sale of the Notes. </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 xml:space="preserve">1.4This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5 and 7.3 hereof or the respective representations, warranties, agreements, covenants, rights or responsibilities of the parties made or arising prior to the termination of this Agreement. </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1.5This Agreement is not assignable by either party hereto without the written consent of the other party; provided, however, that the Dealer may assign its rights and obligations under this Agreement to any affiliate of the Dealer; provided, further, that the provisions of this Agreement shall apply with equal force and effect to any such affiliate. Any purported assignment made in contravention of the immediately preceding sentence shall be null and void and of no effect whatsoever.</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 xml:space="preserve">1.6This Agreement may be signed in any number of counterparts, each of which shall be an original, with the same effect as if the signatures thereto and hereto were upon the same instrument. Each party to this Agreement agrees that the other party may execute its counterpart of this Agreement by (i) an “electronic signature”, whether digital or encrypted, to the maximum extent permitted by applicable law, including the Federal Electronic Signatures in Global and National Commerce Act, the Electronic Signatures and Records Act of New York, or any similar state laws based on the Uniform Electronic Transactions Act or (ii) an electronic transmission (including electronic mail in portable document format (pdf.) form), or other electronic means that reproduces an image of a manually-signed counterpart or (iii) a digital signature transmitted through DocuSign, Adobe Sign or any other secure portal for digitized signature of documents that complies with the U.S. federal ESIGN Act of 2000. Any such counterpart shall be effective to the same extent as delivery of a manually executed counterpart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of this Agreement and treated as an original manually executed counterpart for all purposes of this Agreement.</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1.7Except as provided in Section 5 with respect to non-party Indemnitees, this Agreement is for the exclusive benefit of the parties hereto, and their respective permitted successors and assigns hereunder, and shall not be deemed to give any legal or equitable right, remedy or claim to any other person whatsoever; provided, however, that Section 7.3(b) is hereby specifically and expressly acknowledged to also be for the benefit of the holders from time to time of the Notes, as third-party beneficiaries.</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1.8The Issuer acknowledges and agrees that (i) purchases and sales, or placements, of the Notes pursuant to this Agreement, including the determination of any prices for the Notes and Dealer compensation, are arm’s-length commercial transactions between the Issuer and the Dealer, (ii) in connection therewith and with the process leading to such transactions, the Dealer is acting solely as a principal and not the agent (except to the extent explicitly set forth herein) or fiduciary of the Issuer or any of its affiliates, (iii) the Dealer has not assumed an advisory or fiduciary responsibility in favor of the Issuer or any of its affiliates with respect to the offering contemplated hereby or the process leading thereto (irrespective of whether the Dealer has advised or is currently advising the Issuer or any of its affiliates on other matters) or any other obligation to the Issuer or any of its affiliates except the obligations expressly set forth in this Agreement, (iv) the Issuer is capable of evaluating and understanding and understands and accepts the terms, risks and conditions of the transactions contemplated by this Agreement, (v) the Dealer and its affiliates may be engaged in a broad range of transactions that involve interests that differ from those of the Issuer and that the Dealer has no obligation to disclose any of those interests by virtue of any advisory or fiduciary relationship, (vi) the Dealer has not provided any legal, accounting, regulatory or tax advice with respect to the transactions contemplated hereby, and (vii) the Issuer has consulted its own legal and financial advisors to the extent it deemed appropriate. The Issuer agrees that it will not claim that the Dealer has rendered advisory services of any nature or respect, or owes a fiduciary or similar duty to the Issuer, in connection with such transactions or the process leading thereto. Any review by the Dealer of the Issuer, the transactions contemplated hereby or other matters relating to such transactions shall be performed solely for the benefit of the Dealer and shall not be on behalf of the Issuer. This Agreement supersedes all prior agreements and understandings (whether written or oral) between the Issuer and the Dealer with respect to the subject matter hereof. The Issuer hereby waives and releases, to the fullest extent permitted by law, any claims the Issuer may have against the Dealer with respect to any breach or alleged breach of fiduciary duty arising out of this Agreement or the transactions contemplated hereby.</w:t>
      </w:r>
    </w:p>
    <w:p>
      <w:pPr>
        <w:pStyle w:val="TextBody"/>
        <w:bidi w:val="0"/>
        <w:spacing w:lineRule="atLeast" w:line="280" w:before="120" w:after="160"/>
        <w:ind w:left="0" w:right="0" w:hanging="454"/>
        <w:jc w:val="both"/>
        <w:rPr>
          <w:rFonts w:ascii="Times New Roman;serif" w:hAnsi="Times New Roman;serif"/>
          <w:b w:val="false"/>
          <w:color w:val="000000"/>
          <w:sz w:val="22"/>
        </w:rPr>
      </w:pPr>
      <w:r>
        <w:rPr>
          <w:rFonts w:ascii="Times New Roman;serif" w:hAnsi="Times New Roman;serif"/>
          <w:b w:val="false"/>
          <w:color w:val="000000"/>
          <w:sz w:val="22"/>
        </w:rPr>
        <w:t>1.9(a) The parties hereto agree that the Issuer may, in accordance with the terms of this Section 7.9,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Agent Agreement”) (any such replacement, a “Replacement”).</w:t>
      </w:r>
    </w:p>
    <w:p>
      <w:pPr>
        <w:pStyle w:val="TextBody"/>
        <w:bidi w:val="0"/>
        <w:spacing w:lineRule="atLeast" w:line="280" w:before="12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(b) From and after the effective date of any Replacement, (i) to the extent that the Issuing and Paying Agent Agreement provides that the Current Issuing and Paying Agent will continue to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act in respect of Notes outstanding as of the effective date of such Replacement (the “Outstanding Notes”), then (A) the “Issuing and Paying Agent” for the Notes shall be deemed to be the Current Issuing and Paying Agent, in respect of the Outstanding Notes, and the Replacement Issuing and Paying Agent, in respect of Notes issued on or after the Replacement, (B) all references to the “Issuing and Paying Agent” hereunder shall be deemed to refer to the Current Issuing and Paying Agent in respect of the Outstanding Notes, and the Replacement Issuing and Paying Agent in respect of Notes issued on or after the Replacement, and (C) all references to the “Issuing and Paying Agent Agreement” hereunder shall be deemed to refer to the existing Issuing and Paying Agent Agreement, in respect of the Outstanding Notes, and the Replacement Issuing and Paying Agent Agreement, in respect of Notes issued on or after the Replacement; and (ii) to the extent that the Issuing and Paying Agent Agreement does not provide that the Current Issuing and Paying Agent will continue to act in respect of the Outstanding Notes, then (A) the “Issuing and Paying Agent” for the Notes (including Outstanding Notes and Notes issued on or after the Replacement) shall be deemed to be the Replacement Issuing and Paying Agent, (B) all references to the “Issuing and Paying Agent” hereunder shall be deemed to refer to the Replacement Issuing and Paying Agent, and (C) all references to the “Issuing and Paying Agent Agreement” hereunder shall be deemed to refer to the Replacement Issuing and Paying Agent Agreement. </w:t>
      </w:r>
    </w:p>
    <w:p>
      <w:pPr>
        <w:pStyle w:val="TextBody"/>
        <w:bidi w:val="0"/>
        <w:spacing w:lineRule="atLeast" w:line="280" w:before="120" w:after="160"/>
        <w:jc w:val="both"/>
        <w:rPr>
          <w:rFonts w:ascii="Times New Roman;serif" w:hAnsi="Times New Roman;serif"/>
          <w:b w:val="false"/>
          <w:color w:val="000000"/>
          <w:sz w:val="22"/>
        </w:rPr>
      </w:pPr>
      <w:r>
        <w:rPr>
          <w:rFonts w:ascii="Times New Roman;serif" w:hAnsi="Times New Roman;serif"/>
          <w:b w:val="false"/>
          <w:color w:val="000000"/>
          <w:sz w:val="22"/>
        </w:rPr>
        <w:t>(c) From and after the effective date of any Replacement, the Issuer shall not issue any Notes hereunder unless and until the Dealer shall have received: (i) a copy of the executed Replacement Issuing and Paying Agent Agreement, (ii) a copy of the executed Letter of Representations among the Issuer, the Replacement Issuing and Paying Agent and DTC or a copy of the executed Swing Letter from the Replacement Issuing and Paying Agent to DTC, as applicable, as required by DTC, (iii) a copy of each executed Master Note authenticated by the Replacement Issuing and Paying Agent and registered in the name of DTC or its nominee, (iv) an amendment or supplement to or replacement of the Private Placement Memorandum describing the Replacement Issuing and Paying Agent as the Issuing and Paying Agent for the Notes, and reflecting any other changes thereto necessary in light of the Replacement so that the Private Placement Memorandum, as amended, supplemented or replaced, satisfies the requirements of this Agreement, (v) a customary legal opinion of counsel to the Issuer, addressed to the Dealer, in form and substance reasonably satisfactory to the Dealer, and (vi) such other certificates, opinions, letters and documents as the Dealer shall have reasonably requested.</w:t>
      </w:r>
    </w:p>
    <w:p>
      <w:pPr>
        <w:pStyle w:val="TextBody"/>
        <w:bidi w:val="0"/>
        <w:spacing w:lineRule="atLeast" w:line="280" w:before="120" w:after="160"/>
        <w:ind w:left="0" w:right="0" w:hanging="454"/>
        <w:jc w:val="left"/>
        <w:rPr>
          <w:rFonts w:ascii="Times New Roman;serif" w:hAnsi="Times New Roman;serif"/>
          <w:b w:val="false"/>
          <w:color w:val="000000"/>
          <w:sz w:val="22"/>
        </w:rPr>
      </w:pPr>
      <w:r>
        <w:rPr>
          <w:rFonts w:ascii="Times New Roman;serif" w:hAnsi="Times New Roman;serif"/>
          <w:b w:val="false"/>
          <w:color w:val="000000"/>
          <w:sz w:val="22"/>
        </w:rPr>
        <w:t>1.10Notwithstanding anything to the contrary in this Agreement, the parties hereto agree that:</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(a)In the event that the Dealer that is a Covered Entity becomes subject to a proceeding under a U.S. Special Resolution Regime, the transfer from the Dealer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(b)In the event that the Dealer that is a Covered Entity or a BHC Act Affiliate of the Dealer becomes subject to a proceeding under a U.S. Special Resolution Regime, Default Rights under this Agreement that may be exercised against the Dealer are permitted to be exercised to no greater extent than such Default Rights could be exercised under the U.S.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Resolution Regime if this Agreement were governed by the laws of the United States or a state of the United States.</w:t>
      </w:r>
    </w:p>
    <w:p>
      <w:pPr>
        <w:pStyle w:val="TextBody"/>
        <w:bidi w:val="0"/>
        <w:spacing w:before="120" w:after="160"/>
        <w:jc w:val="both"/>
        <w:rPr/>
      </w:pPr>
      <w:r>
        <w:rPr/>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16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executed as of the date and year first above written.</w:t>
      </w:r>
    </w:p>
    <w:tbl>
      <w:tblPr>
        <w:tblW w:w="3899" w:type="dxa"/>
        <w:jc w:val="left"/>
        <w:tblInd w:w="0" w:type="dxa"/>
        <w:tblLayout w:type="fixed"/>
        <w:tblCellMar>
          <w:top w:w="28" w:type="dxa"/>
          <w:left w:w="28" w:type="dxa"/>
          <w:bottom w:w="28" w:type="dxa"/>
          <w:right w:w="28" w:type="dxa"/>
        </w:tblCellMar>
      </w:tblPr>
      <w:tblGrid>
        <w:gridCol w:w="875"/>
        <w:gridCol w:w="767"/>
        <w:gridCol w:w="772"/>
        <w:gridCol w:w="434"/>
        <w:gridCol w:w="434"/>
        <w:gridCol w:w="617"/>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Illumina, Inc., as Issuer</w:t>
            </w:r>
          </w:p>
        </w:tc>
        <w:tc>
          <w:tcPr>
            <w:tcW w:w="1485"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color w:val="000000"/>
                <w:sz w:val="22"/>
              </w:rPr>
              <w:t>[●]</w:t>
            </w:r>
            <w:r>
              <w:rPr>
                <w:rFonts w:ascii="Times New Roman;serif" w:hAnsi="Times New Roman;serif"/>
                <w:b w:val="false"/>
                <w:color w:val="000000"/>
                <w:sz w:val="22"/>
              </w:rPr>
              <w:t xml:space="preserve">, </w:t>
            </w:r>
            <w:r>
              <w:rPr>
                <w:rFonts w:ascii="Times New Roman;serif" w:hAnsi="Times New Roman;serif"/>
                <w:b/>
                <w:color w:val="000000"/>
                <w:sz w:val="22"/>
              </w:rPr>
              <w:t>as Dealer</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val="false"/>
                <w:color w:val="000000"/>
                <w:sz w:val="22"/>
              </w:rPr>
              <w:t>By:</w:t>
            </w:r>
            <w:r>
              <w:rPr>
                <w:color w:val="000000"/>
                <w:u w:val="single"/>
              </w:rPr>
              <w:t>    </w:t>
            </w:r>
          </w:p>
        </w:tc>
        <w:tc>
          <w:tcPr>
            <w:tcW w:w="1485"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val="false"/>
                <w:color w:val="000000"/>
                <w:sz w:val="22"/>
              </w:rPr>
              <w:t>By:</w:t>
            </w:r>
            <w:r>
              <w:rPr>
                <w:color w:val="000000"/>
                <w:u w:val="single"/>
              </w:rPr>
              <w:t>    </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val="false"/>
                <w:color w:val="000000"/>
                <w:sz w:val="22"/>
              </w:rPr>
              <w:t>Name:</w:t>
            </w:r>
            <w:r>
              <w:rPr>
                <w:color w:val="000000"/>
                <w:u w:val="single"/>
              </w:rPr>
              <w:t>    </w:t>
            </w:r>
          </w:p>
        </w:tc>
        <w:tc>
          <w:tcPr>
            <w:tcW w:w="1485"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val="false"/>
                <w:color w:val="000000"/>
                <w:sz w:val="22"/>
              </w:rPr>
              <w:t>Name:</w:t>
            </w:r>
            <w:r>
              <w:rPr>
                <w:color w:val="000000"/>
                <w:u w:val="single"/>
              </w:rPr>
              <w:t>    </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val="false"/>
                <w:color w:val="000000"/>
                <w:sz w:val="22"/>
              </w:rPr>
              <w:t>Title:</w:t>
            </w:r>
            <w:r>
              <w:rPr>
                <w:color w:val="000000"/>
                <w:u w:val="single"/>
              </w:rPr>
              <w:t>    </w:t>
            </w:r>
          </w:p>
        </w:tc>
        <w:tc>
          <w:tcPr>
            <w:tcW w:w="1485"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val="false"/>
                <w:color w:val="000000"/>
                <w:sz w:val="22"/>
              </w:rPr>
              <w:t>Title:</w:t>
            </w:r>
            <w:r>
              <w:rPr>
                <w:color w:val="000000"/>
                <w:u w:val="single"/>
              </w:rPr>
              <w:t>    </w:t>
            </w:r>
          </w:p>
        </w:tc>
      </w:tr>
    </w:tbl>
    <w:p>
      <w:pPr>
        <w:pStyle w:val="TextBody"/>
        <w:bidi w:val="0"/>
        <w:spacing w:before="120" w:after="160"/>
        <w:jc w:val="left"/>
        <w:rPr/>
      </w:pPr>
      <w:r>
        <w:rPr/>
      </w:r>
    </w:p>
    <w:p>
      <w:pPr>
        <w:pStyle w:val="TextBody"/>
        <w:bidi w:val="0"/>
        <w:spacing w:before="120" w:after="160"/>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0"/>
        <w:jc w:val="left"/>
        <w:rPr>
          <w:rFonts w:ascii="Times New Roman;serif" w:hAnsi="Times New Roman;serif"/>
          <w:b/>
          <w:color w:val="000000"/>
          <w:sz w:val="24"/>
        </w:rPr>
      </w:pPr>
      <w:r>
        <w:rPr>
          <w:rFonts w:ascii="Times New Roman;serif" w:hAnsi="Times New Roman;serif"/>
          <w:b/>
          <w:color w:val="000000"/>
          <w:sz w:val="24"/>
        </w:rPr>
        <w:t xml:space="preserve">Addendum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The following additional clauses shall apply to the Agreement and be deemed a part thereof.</w:t>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Other Dealers referred to in clause (b) of Section 1.2 of the Agreement are [●] and [●].</w:t>
      </w:r>
    </w:p>
    <w:p>
      <w:pPr>
        <w:pStyle w:val="TextBody"/>
        <w:bidi w:val="0"/>
        <w:spacing w:before="120" w:after="160"/>
        <w:ind w:left="0" w:right="0" w:hanging="630"/>
        <w:jc w:val="left"/>
        <w:rPr/>
      </w:pPr>
      <w:r>
        <w:rPr/>
      </w:r>
    </w:p>
    <w:p>
      <w:pPr>
        <w:pStyle w:val="TextBody"/>
        <w:bidi w:val="0"/>
        <w:spacing w:before="0" w:after="160"/>
        <w:ind w:left="0" w:right="0" w:hanging="634"/>
        <w:jc w:val="left"/>
        <w:rPr/>
      </w:pPr>
      <w:r>
        <w:rPr/>
      </w:r>
    </w:p>
    <w:p>
      <w:pPr>
        <w:pStyle w:val="TextBody"/>
        <w:bidi w:val="0"/>
        <w:spacing w:before="0" w:after="160"/>
        <w:ind w:left="0" w:right="0" w:hanging="634"/>
        <w:jc w:val="left"/>
        <w:rPr/>
      </w:pPr>
      <w:r>
        <w:rPr/>
      </w:r>
    </w:p>
    <w:p>
      <w:pPr>
        <w:pStyle w:val="TextBody"/>
        <w:bidi w:val="0"/>
        <w:spacing w:lineRule="atLeast" w:line="280" w:before="12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2.The addresses of the respective parties for purposes of notices under Section 7.1 are as follows:</w:t>
      </w:r>
    </w:p>
    <w:p>
      <w:pPr>
        <w:pStyle w:val="TextBody"/>
        <w:bidi w:val="0"/>
        <w:spacing w:lineRule="atLeast" w:line="280" w:before="120" w:after="160"/>
        <w:jc w:val="left"/>
        <w:rPr/>
      </w:pPr>
      <w:r>
        <w:rPr>
          <w:rFonts w:ascii="Times New Roman;serif" w:hAnsi="Times New Roman;serif"/>
          <w:b w:val="false"/>
          <w:color w:val="000000"/>
          <w:sz w:val="22"/>
          <w:u w:val="single"/>
        </w:rPr>
        <w:t>For the Issuer</w:t>
      </w:r>
      <w:r>
        <w:rPr>
          <w:rFonts w:ascii="Times New Roman;serif" w:hAnsi="Times New Roman;serif"/>
          <w:b w:val="false"/>
          <w:color w:val="000000"/>
          <w:sz w:val="22"/>
        </w:rPr>
        <w:t>:</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Address: Illumina, Inc., 5200 Illumina Way, San Diego, California 92122</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Attention: Treasury Department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Email address: TreasuryCorporate@illumina.com </w:t>
      </w:r>
    </w:p>
    <w:p>
      <w:pPr>
        <w:pStyle w:val="TextBody"/>
        <w:bidi w:val="0"/>
        <w:spacing w:lineRule="atLeast" w:line="280" w:before="120" w:after="160"/>
        <w:jc w:val="left"/>
        <w:rPr/>
      </w:pPr>
      <w:r>
        <w:rPr>
          <w:rFonts w:ascii="Times New Roman;serif" w:hAnsi="Times New Roman;serif"/>
          <w:b w:val="false"/>
          <w:i/>
          <w:color w:val="000000"/>
          <w:sz w:val="22"/>
        </w:rPr>
        <w:t>With a copy to</w:t>
      </w:r>
      <w:r>
        <w:rPr>
          <w:rFonts w:ascii="Times New Roman;serif" w:hAnsi="Times New Roman;serif"/>
          <w:b w:val="false"/>
          <w:color w:val="000000"/>
          <w:sz w:val="22"/>
        </w:rPr>
        <w:t>:</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Address: Illumina, Inc., 5200 Illumina Way, San Diego, California 92122</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Attention: Legal Department</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Email: legal@illumina.com </w:t>
      </w:r>
    </w:p>
    <w:p>
      <w:pPr>
        <w:pStyle w:val="TextBody"/>
        <w:bidi w:val="0"/>
        <w:spacing w:before="120" w:after="160"/>
        <w:jc w:val="left"/>
        <w:rPr/>
      </w:pPr>
      <w:r>
        <w:rPr/>
      </w:r>
    </w:p>
    <w:p>
      <w:pPr>
        <w:pStyle w:val="TextBody"/>
        <w:bidi w:val="0"/>
        <w:spacing w:lineRule="atLeast" w:line="280" w:before="120" w:after="160"/>
        <w:jc w:val="left"/>
        <w:rPr/>
      </w:pPr>
      <w:r>
        <w:rPr>
          <w:rFonts w:ascii="Times New Roman;serif" w:hAnsi="Times New Roman;serif"/>
          <w:b w:val="false"/>
          <w:color w:val="000000"/>
          <w:sz w:val="22"/>
          <w:u w:val="single"/>
        </w:rPr>
        <w:t>For the Dealer</w:t>
      </w:r>
      <w:r>
        <w:rPr>
          <w:rFonts w:ascii="Times New Roman;serif" w:hAnsi="Times New Roman;serif"/>
          <w:b w:val="false"/>
          <w:color w:val="000000"/>
          <w:sz w:val="22"/>
        </w:rPr>
        <w:t>:</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Address: [●]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Attention: [●]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Telephone number: [●]    </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Email address: [●]    </w:t>
      </w:r>
    </w:p>
    <w:p>
      <w:pPr>
        <w:pStyle w:val="TextBody"/>
        <w:bidi w:val="0"/>
        <w:spacing w:before="0" w:after="0"/>
        <w:jc w:val="left"/>
        <w:rPr/>
      </w:pPr>
      <w:r>
        <w:rPr/>
      </w:r>
    </w:p>
    <w:p>
      <w:pPr>
        <w:pStyle w:val="TextBody"/>
        <w:bidi w:val="0"/>
        <w:spacing w:before="24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160"/>
        <w:jc w:val="lef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tLeast" w:line="280" w:before="120" w:after="160"/>
        <w:jc w:val="left"/>
        <w:rPr>
          <w:rFonts w:ascii="Times New Roman;serif" w:hAnsi="Times New Roman;serif"/>
          <w:b/>
          <w:color w:val="000000"/>
          <w:sz w:val="24"/>
        </w:rPr>
      </w:pPr>
      <w:r>
        <w:rPr>
          <w:rFonts w:ascii="Times New Roman;serif" w:hAnsi="Times New Roman;serif"/>
          <w:b/>
          <w:color w:val="000000"/>
          <w:sz w:val="24"/>
        </w:rPr>
        <w:t>Form of Legend for Private Placement Memorandum and Notes</w:t>
      </w:r>
    </w:p>
    <w:p>
      <w:pPr>
        <w:pStyle w:val="TextBody"/>
        <w:bidi w:val="0"/>
        <w:spacing w:lineRule="atLeast" w:line="280" w:before="120" w:after="160"/>
        <w:jc w:val="left"/>
        <w:rPr>
          <w:rFonts w:ascii="Times New Roman;serif" w:hAnsi="Times New Roman;serif"/>
          <w:b w:val="false"/>
          <w:color w:val="000000"/>
          <w:sz w:val="22"/>
        </w:rPr>
      </w:pPr>
      <w:r>
        <w:rPr>
          <w:rFonts w:ascii="Times New Roman;serif" w:hAnsi="Times New Roman;serif"/>
          <w:b w:val="false"/>
          <w:color w:val="000000"/>
          <w:sz w:val="22"/>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ILLUMINA, INC.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OR OTHER SUCH INSTITUTION)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DEALER DESIGNATED BY THE ISSUER AS A DEALER FOR THE NOTES (EACH, A “DEALER”), NONE OF WHICH SHALL HAVE ANY OBLIGATION TO ACQUIRE SUCH NOTE, (2) THROUGH A DEALER TO AN INSTITUTIONAL ACCREDITED INVESTOR OR A QIB, OR (3) TO A QIB IN A TRANSACTION THAT MEETS THE REQUIREMENTS OF RULE 144A AND (B) IN MINIMUM AMOUNTS OF $250,000.</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0"/>
        <w:jc w:val="left"/>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Statement of Terms for Interest – Bearing Commercial Paper Notes of Illumina, Inc.</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THE PROVISIONS SET FORTH BELOW ARE QUALIFIED TO THE EXTENT APPLICABLE BY THE TRANSACTION SPECIFIC [PRIVATE PLACEMENT MEMORANDUM] SUPPLEMENT (THE “SUPPLEMENT”) (IF ANY) SENT TO EACH PURCHASER AT THE TIME OF THE TRANSACTION.</w:t>
      </w:r>
    </w:p>
    <w:p>
      <w:pPr>
        <w:pStyle w:val="TextBody"/>
        <w:bidi w:val="0"/>
        <w:spacing w:lineRule="auto" w:line="288" w:before="0" w:after="240"/>
        <w:jc w:val="left"/>
        <w:rPr/>
      </w:pPr>
      <w:r>
        <w:rPr>
          <w:rFonts w:ascii="Times New Roman;serif" w:hAnsi="Times New Roman;serif"/>
          <w:b w:val="false"/>
          <w:color w:val="000000"/>
          <w:sz w:val="22"/>
        </w:rPr>
        <w:t xml:space="preserve">1. </w:t>
      </w:r>
      <w:r>
        <w:rPr>
          <w:rFonts w:ascii="Times New Roman;serif" w:hAnsi="Times New Roman;serif"/>
          <w:b w:val="false"/>
          <w:color w:val="000000"/>
          <w:sz w:val="22"/>
          <w:u w:val="single"/>
        </w:rPr>
        <w:t>General.</w:t>
      </w:r>
      <w:r>
        <w:rPr>
          <w:color w:val="000000"/>
        </w:rPr>
        <w:t xml:space="preserve"> </w:t>
      </w:r>
      <w:r>
        <w:rPr>
          <w:rFonts w:ascii="Times New Roman;serif" w:hAnsi="Times New Roman;serif"/>
          <w:b w:val="false"/>
          <w:color w:val="000000"/>
          <w:sz w:val="22"/>
        </w:rPr>
        <w:t>(a) The obligations of the Issuer to which these terms apply (each a “Note”) are represented by one or more Master Notes (each, a “Master Note”) issued in the name of (or of a nominee for) The Depository Trust Company (“DTC”), which Master Notes include the terms and provisions for the Issuer’s Interest-Bearing Commercial Paper Notes that are set forth in this Statement of Terms, since this Statement of Terms constitutes an integral part of the Underlying Records as defined and referred to in the Master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 “Business Day” means any day other than a Saturday or Sunday that is neither a legal holiday nor a day on which banking institutions are authorized or required by law, executive order or regulation to be closed in New York City, unless otherwise specified in the Supplement.</w:t>
      </w:r>
    </w:p>
    <w:p>
      <w:pPr>
        <w:pStyle w:val="TextBody"/>
        <w:bidi w:val="0"/>
        <w:spacing w:lineRule="auto" w:line="288" w:before="0" w:after="240"/>
        <w:jc w:val="left"/>
        <w:rPr/>
      </w:pPr>
      <w:r>
        <w:rPr>
          <w:rFonts w:ascii="Times New Roman;serif" w:hAnsi="Times New Roman;serif"/>
          <w:b w:val="false"/>
          <w:color w:val="000000"/>
          <w:sz w:val="22"/>
        </w:rPr>
        <w:t xml:space="preserve">2. </w:t>
      </w:r>
      <w:r>
        <w:rPr>
          <w:rFonts w:ascii="Times New Roman;serif" w:hAnsi="Times New Roman;serif"/>
          <w:b w:val="false"/>
          <w:color w:val="000000"/>
          <w:sz w:val="22"/>
          <w:u w:val="single"/>
        </w:rPr>
        <w:t>Interest.</w:t>
      </w:r>
      <w:r>
        <w:rPr>
          <w:color w:val="000000"/>
        </w:rPr>
        <w:t xml:space="preserve"> </w:t>
      </w:r>
      <w:r>
        <w:rPr>
          <w:rFonts w:ascii="Times New Roman;serif" w:hAnsi="Times New Roman;serif"/>
          <w:b w:val="false"/>
          <w:color w:val="000000"/>
          <w:sz w:val="22"/>
        </w:rPr>
        <w:t>(a) Each Note will bear interest at a fixed rate (a “Fixed Rate Note”) or at a floating rate (a “Floating Rate Note”).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 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 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and actual days elapsed.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(d) 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or made available for payment. The Supplement will designate which of the following Base Rates is applicable to the related Floating Rate Note: (i) the Commercial Paper Rate (a “Commercial Paper Rate Note”), (ii) the Federal Funds Rate (a “Federal Funds Rate Note”), (iii) the Prime Rate (a “Prime Rate Note”), (iv) the Treasury Rate (a “Treasury Rate Note”) or (v) such other Base Rate as may be specified in such Supplement.</w:t>
      </w:r>
      <w:r>
        <w:rPr>
          <w:rFonts w:ascii="Times New Roman;serif" w:hAnsi="Times New Roman;serif"/>
          <w:b w:val="false"/>
          <w:color w:val="000000"/>
          <w:sz w:val="14"/>
        </w:rPr>
        <w:t>1</w:t>
      </w:r>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if such Business Day falls in the next succeeding calendar month, such Interest Reset Date shall be the immediately preceding Business Day, unless otherwise specified in the Supplement.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if such Business Day falls in the next succeeding calendar month, such Interest Payment Date shall be the immediately preceding Business Day, unless otherwise specified in the Supplement.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w:t>
      </w:r>
    </w:p>
    <w:p>
      <w:pPr>
        <w:pStyle w:val="TextBody"/>
        <w:bidi w:val="0"/>
        <w:spacing w:lineRule="auto" w:line="288"/>
        <w:ind w:left="0" w:right="0" w:hanging="274"/>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addition, Notes may be issued utilizing index rates other than those set forth herein, including, without limitation, SOFR, BSBY, Ameribor, and OBFR, and such index rates may be incorporated by (i) modifying this Statement of Terms through the Supplement to accommodate such alternative index rates, or (ii) expressly modifying the Statement of Terms to include such index rates.</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interest rate applicable to such day by 360, in the cases where the Base Rate is the Commercial Paper Rate, Federal Funds Rate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“Interest Determination Date” where the Base Rate is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 The Interest Determination Date where the Base Rate is a rate other than a specific rate set forth in this paragraph will be as set forth in the Supplement.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“Index Maturity” is the period to maturity of the instrument or obligation from which the applicable Base Rate is calculated.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“Calculation Date,” where applicable, shall be the earlier of (i) the tenth calendar day following the applicable Interest Determination Date or (ii) the Business Day preceding the applicable Interest Payment Date or Maturity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All times referred to herein reflect New York City time, unless otherwise specified.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Commercial Paper Rate Notes</w:t>
      </w:r>
    </w:p>
    <w:p>
      <w:pPr>
        <w:pStyle w:val="TextBody"/>
        <w:bidi w:val="0"/>
        <w:spacing w:lineRule="auto" w:line="288"/>
        <w:jc w:val="left"/>
        <w:rPr>
          <w:color w:val="000000"/>
        </w:rPr>
      </w:pPr>
      <w:r>
        <w:rPr>
          <w:color w:val="000000"/>
        </w:rPr>
        <w:t>“</w:t>
      </w:r>
      <w:r>
        <w:rPr>
          <w:rFonts w:ascii="Times New Roman;serif" w:hAnsi="Times New Roman;serif"/>
          <w:b w:val="false"/>
          <w:color w:val="000000"/>
          <w:sz w:val="22"/>
        </w:rPr>
        <w:t>Commercial Paper Rate” means the Money Market Yield (calculated as described below) of the rate on any Interest Determination Date for commercial paper having the Index Maturity, as published by the Board of Governors of the Federal Reserve System (“FRB”) in Statistical Release, Commercial Paper Rates and Outstanding Summary” or any successor publication of the FRB (“Commercial Paper Rates and Outstanding Summary”), available through the world wide website of the FRB at https://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www.federalreserve.gov/releases/cp/default.htm, or any successor site or publication or other recognized source used for the purpose of displaying the applicable rate under the heading “Rates AA nonfinancial”.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above rate is not published in Commercial Paper Rates and Outstanding Summary by 3:00 p.m., New York City time, on the Calculation Date, then the Commercial Paper Rate will be the Money Market Yield of the rate on such Interest Determination Date for commercial paper of the Index Maturity published in the daily update of H.15 Daily Update, available through the world wide website of the FRB at http://www.federalreserve.gov/releases/h15/, or any successor site or publication or other recognized electronic source used for the purpose of displaying the applicable rate (“H.15 Daily Update”) under the heading “Commercial Paper-Nonfinancial”.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by 3:00 p.m. on such Calculation Date such rate is not published in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dealers selected by the Calculation Agent are not quoting as mentioned above, the Commercial Paper Rate with respect to such Interest Determination Date will remain the Commercial Paper Rate then in effect on such Interest Determination Date.</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Money Market Yield” will be a yield calculated in accordance with the following formula:</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D x 360</w:t>
      </w:r>
    </w:p>
    <w:p>
      <w:pPr>
        <w:pStyle w:val="TextBody"/>
        <w:bidi w:val="0"/>
        <w:spacing w:lineRule="auto" w:line="288" w:before="0" w:after="240"/>
        <w:jc w:val="left"/>
        <w:rPr/>
      </w:pPr>
      <w:r>
        <w:rPr/>
        <w:drawing>
          <wp:inline distT="0" distB="0" distL="0" distR="0">
            <wp:extent cx="1095375" cy="14605"/>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1095375" cy="14605"/>
                    </a:xfrm>
                    <a:prstGeom prst="rect">
                      <a:avLst/>
                    </a:prstGeom>
                  </pic:spPr>
                </pic:pic>
              </a:graphicData>
            </a:graphic>
          </wp:inline>
        </w:drawing>
      </w:r>
      <w:r>
        <w:rPr>
          <w:rFonts w:ascii="Times New Roman;serif" w:hAnsi="Times New Roman;serif"/>
          <w:b w:val="false"/>
          <w:color w:val="000000"/>
          <w:sz w:val="22"/>
        </w:rPr>
        <w:t>Money Market Yield =     x 100</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360 - (D x 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where “D” refers to the applicable per annum rate for commercial paper quoted on a bank discount basis and expressed as a decimal and “M” refers to the actual number of days in the interest period for which interest is being calculated.</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Federal Funds Rate Notes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Federal Funds Rate” means the rate on any Interest Determination Date for federal funds as available through the FRB Website, as displayed on Bloomberg screen FEDL01 Index page on such date (“Bloomberg Screen Page”).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above rate does not appear on the FRB Website or the Bloomberg Screen Page or is not so published by 3:00 p.m. on the Calculation Date, the Federal Funds Rate will be the rate on such Interest Determination Date as published in H.15 Daily Update under the heading “Federal Funds/(Effective)”.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2"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brokers selected by the Calculation Agent are not quoting as mentioned above, the Federal Funds Rate will remain the Federal Funds Rate then in effect on such Interest Determination Date.</w:t>
      </w:r>
    </w:p>
    <w:p>
      <w:pPr>
        <w:pStyle w:val="TextBody"/>
        <w:bidi w:val="0"/>
        <w:spacing w:lineRule="auto" w:line="288" w:before="0" w:after="240"/>
        <w:jc w:val="left"/>
        <w:rPr/>
      </w:pPr>
      <w:r>
        <w:rPr>
          <w:color w:val="000000"/>
        </w:rPr>
        <w:t>“</w:t>
      </w:r>
      <w:r>
        <w:rPr>
          <w:rFonts w:ascii="Times New Roman;serif" w:hAnsi="Times New Roman;serif"/>
          <w:b w:val="false"/>
          <w:color w:val="000000"/>
          <w:sz w:val="22"/>
        </w:rPr>
        <w:t xml:space="preserve">FRB Website” means the world wide website of the FRB at </w:t>
      </w:r>
      <w:r>
        <w:rPr>
          <w:rFonts w:ascii="Times New Roman;serif" w:hAnsi="Times New Roman;serif"/>
          <w:b w:val="false"/>
          <w:color w:val="0000FF"/>
          <w:sz w:val="22"/>
          <w:u w:val="single"/>
        </w:rPr>
        <w:t>http://www.federalreserve.gov/releases/h15/</w:t>
      </w:r>
      <w:r>
        <w:rPr>
          <w:rFonts w:ascii="Times New Roman;serif" w:hAnsi="Times New Roman;serif"/>
          <w:b w:val="false"/>
          <w:color w:val="000000"/>
          <w:sz w:val="22"/>
        </w:rPr>
        <w:t>, or any successor site or publication or other recognized electronic source used for the purpose of displaying the H.15 Daily Update.</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Prime Rate Notes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Prime Rate” means the rate on any Interest Determination Date as published in H.15 Daily Update under the heading “Bank Prime Loan”.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above rate is not published in H.15 Daily Update prior to 3:00 p.m. on the Calculation Date, then the Prime Rate will be the rate on such Interest Determination Date as published in H.15 Daily Update opposite the caption “Bank Prime Loan”.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rate is not published prior to 3:00 p.m. on the Calculation Date in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banks selected are not quoting as mentioned above, the Prime Rate will remain the Prime Rate in effect on such Interest Determination Date.</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Treasury Rate Notes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Treasury Rate” means: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(1) the rate from the auction held on the Interest Determination Date (the “Auction”) of direct obligations of the United States (“Treasury Bills”) having the Index Maturity specified in the Supplement under the caption “INVEST RATE” on the display on the Reuters Page designated as USAUCTION10 (or any other page as may replace that page on that service) or the Reuters Page designated as USAUCTION11 (or any other page as may replace that page on that service),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(2) 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3"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(3) if the rate referred to in clause (2) is not so published by 3:00 p.m. on the related Calculation Date, the Bond Equivalent Yield of the auction rate of the applicable Treasury Bills as announced by the United States Department of the Treasury,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(4) if the rate referred to in clause (3) is not so announced by the United States Department of the Treasury, or if the Auction is not held, the Bond Equivalent Yield of the rate on the particular Interest Determination Date of the applicable Treasury Bills as published in H.15 Daily Update under the caption “U.S. Government Securities/Treasury Bills/Secondary Market”,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(5) if the rate referred to in clause (4) is not so published by 3:00 p.m. on the related Calculation Date, the rate on the particular Interest Determination Date of the applicable Treasury Bills as published in H.15 Daily Update, under the caption “U.S. Government Securities/Treasury Bills/Secondary Market”,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(6) 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(7) if the dealers so selected by the Calculation Agent are not quoting as mentioned in clause (6), the Treasury Rate in effect on the particular Interest Determination Date.</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Bond Equivalent Yield” means a yield (expressed as a percentage) calculated in accordance with the following formula:</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D x N</w:t>
      </w:r>
    </w:p>
    <w:p>
      <w:pPr>
        <w:pStyle w:val="TextBody"/>
        <w:bidi w:val="0"/>
        <w:spacing w:lineRule="auto" w:line="288" w:before="0" w:after="0"/>
        <w:jc w:val="both"/>
        <w:rPr/>
      </w:pPr>
      <w:r>
        <w:rPr/>
        <w:drawing>
          <wp:inline distT="0" distB="0" distL="0" distR="0">
            <wp:extent cx="866775" cy="14605"/>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866775" cy="14605"/>
                    </a:xfrm>
                    <a:prstGeom prst="rect">
                      <a:avLst/>
                    </a:prstGeom>
                  </pic:spPr>
                </pic:pic>
              </a:graphicData>
            </a:graphic>
          </wp:inline>
        </w:drawing>
      </w:r>
      <w:r>
        <w:rPr>
          <w:rFonts w:ascii="Times New Roman;serif" w:hAnsi="Times New Roman;serif"/>
          <w:b w:val="false"/>
          <w:color w:val="000000"/>
          <w:sz w:val="22"/>
        </w:rPr>
        <w:t>Bond Equivalent Yield =     x 100</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360 - (D x 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where “D” refers to the applicable per annum rate for Treasury Bills quoted on a bank discount basis and expressed as a decimal, “N” refers to 365 or 366, as the case may be, and “M” refers to the actual number of days in the applicable Interest Reset Period.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"Reuters Page" means the display on Thomson Reuters Eikon, or any successor service, on the page or pages specified in this Statement of Terms or the Supplement, or any replacement page on that service.</w:t>
      </w:r>
    </w:p>
    <w:p>
      <w:pPr>
        <w:pStyle w:val="TextBody"/>
        <w:bidi w:val="0"/>
        <w:spacing w:lineRule="auto" w:line="288" w:before="0" w:after="240"/>
        <w:ind w:left="0" w:right="0" w:hanging="360"/>
        <w:jc w:val="left"/>
        <w:rPr/>
      </w:pPr>
      <w:r>
        <w:rPr>
          <w:rFonts w:ascii="Times New Roman;serif" w:hAnsi="Times New Roman;serif"/>
          <w:b w:val="false"/>
          <w:color w:val="000000"/>
          <w:sz w:val="22"/>
        </w:rPr>
        <w:t xml:space="preserve">3. </w:t>
      </w:r>
      <w:r>
        <w:rPr>
          <w:rFonts w:ascii="Times New Roman;serif" w:hAnsi="Times New Roman;serif"/>
          <w:b w:val="false"/>
          <w:color w:val="000000"/>
          <w:sz w:val="22"/>
          <w:u w:val="single"/>
        </w:rPr>
        <w:t>Final Maturity.</w:t>
      </w:r>
      <w:r>
        <w:rPr>
          <w:color w:val="000000"/>
        </w:rPr>
        <w:t xml:space="preserve"> </w:t>
      </w:r>
      <w:r>
        <w:rPr>
          <w:rFonts w:ascii="Times New Roman;serif" w:hAnsi="Times New Roman;serif"/>
          <w:b w:val="false"/>
          <w:color w:val="000000"/>
          <w:sz w:val="22"/>
        </w:rPr>
        <w:t>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a “Maturity Date”), the principal amount of such Note, together with accrued and unpaid interest thereon, will be immediately due and payable.</w:t>
      </w:r>
    </w:p>
    <w:p>
      <w:pPr>
        <w:pStyle w:val="TextBody"/>
        <w:bidi w:val="0"/>
        <w:spacing w:lineRule="auto" w:line="288" w:before="0" w:after="240"/>
        <w:ind w:left="0" w:right="0" w:hanging="360"/>
        <w:jc w:val="left"/>
        <w:rPr/>
      </w:pPr>
      <w:r>
        <w:rPr>
          <w:rFonts w:ascii="Times New Roman;serif" w:hAnsi="Times New Roman;serif"/>
          <w:b w:val="false"/>
          <w:color w:val="000000"/>
          <w:sz w:val="22"/>
        </w:rPr>
        <w:t xml:space="preserve">4. </w:t>
      </w:r>
      <w:r>
        <w:rPr>
          <w:rFonts w:ascii="Times New Roman;serif" w:hAnsi="Times New Roman;serif"/>
          <w:b w:val="false"/>
          <w:color w:val="000000"/>
          <w:sz w:val="22"/>
          <w:u w:val="single"/>
        </w:rPr>
        <w:t>Events of Default.</w:t>
      </w:r>
      <w:r>
        <w:rPr>
          <w:color w:val="000000"/>
        </w:rPr>
        <w:t xml:space="preserve"> </w:t>
      </w:r>
      <w:r>
        <w:rPr>
          <w:rFonts w:ascii="Times New Roman;serif" w:hAnsi="Times New Roman;serif"/>
          <w:b w:val="false"/>
          <w:color w:val="000000"/>
          <w:sz w:val="22"/>
        </w:rPr>
        <w:t xml:space="preserve">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 (iv)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such Note (together with interest accrued and unpaid thereon) shall become, without any notice or demand, immediately due and payable.</w:t>
      </w:r>
      <w:r>
        <w:rPr>
          <w:rFonts w:ascii="Times New Roman;serif" w:hAnsi="Times New Roman;serif"/>
          <w:b w:val="false"/>
          <w:color w:val="000000"/>
          <w:sz w:val="14"/>
        </w:rPr>
        <w:t>2</w:t>
      </w:r>
    </w:p>
    <w:p>
      <w:pPr>
        <w:pStyle w:val="TextBody"/>
        <w:bidi w:val="0"/>
        <w:spacing w:lineRule="auto" w:line="288" w:before="0" w:after="240"/>
        <w:ind w:left="0" w:right="0" w:hanging="360"/>
        <w:jc w:val="left"/>
        <w:rPr/>
      </w:pPr>
      <w:r>
        <w:rPr>
          <w:rFonts w:ascii="Times New Roman;serif" w:hAnsi="Times New Roman;serif"/>
          <w:b w:val="false"/>
          <w:color w:val="000000"/>
          <w:sz w:val="22"/>
        </w:rPr>
        <w:t xml:space="preserve">5. </w:t>
      </w:r>
      <w:r>
        <w:rPr>
          <w:rFonts w:ascii="Times New Roman;serif" w:hAnsi="Times New Roman;serif"/>
          <w:b w:val="false"/>
          <w:color w:val="000000"/>
          <w:sz w:val="22"/>
          <w:u w:val="single"/>
        </w:rPr>
        <w:t>Obligation Absolute.</w:t>
      </w:r>
      <w:r>
        <w:rPr>
          <w:color w:val="000000"/>
        </w:rPr>
        <w:t xml:space="preserve"> </w:t>
      </w:r>
      <w:r>
        <w:rPr>
          <w:rFonts w:ascii="Times New Roman;serif" w:hAnsi="Times New Roman;serif"/>
          <w:b w:val="false"/>
          <w:color w:val="000000"/>
          <w:sz w:val="22"/>
        </w:rPr>
        <w:t>No provision of the Issuing and Paying Agent Agreement under which the Notes are issued shall alter or impair the obligation of the Issuer, which is absolute and unconditional, to pay the principal of and interest on each Note at the times, place and rate, and in the coin or currency, herein prescribed.</w:t>
      </w:r>
    </w:p>
    <w:p>
      <w:pPr>
        <w:pStyle w:val="TextBody"/>
        <w:bidi w:val="0"/>
        <w:spacing w:lineRule="auto" w:line="288" w:before="0" w:after="240"/>
        <w:ind w:left="0" w:right="0" w:hanging="360"/>
        <w:jc w:val="left"/>
        <w:rPr/>
      </w:pPr>
      <w:r>
        <w:rPr>
          <w:rFonts w:ascii="Times New Roman;serif" w:hAnsi="Times New Roman;serif"/>
          <w:b w:val="false"/>
          <w:color w:val="000000"/>
          <w:sz w:val="22"/>
        </w:rPr>
        <w:t xml:space="preserve">6. </w:t>
      </w:r>
      <w:r>
        <w:rPr>
          <w:rFonts w:ascii="Times New Roman;serif" w:hAnsi="Times New Roman;serif"/>
          <w:b w:val="false"/>
          <w:color w:val="000000"/>
          <w:sz w:val="22"/>
          <w:u w:val="single"/>
        </w:rPr>
        <w:t>Supplement</w:t>
      </w:r>
      <w:r>
        <w:rPr>
          <w:rFonts w:ascii="Times New Roman;serif" w:hAnsi="Times New Roman;serif"/>
          <w:b w:val="false"/>
          <w:color w:val="000000"/>
          <w:sz w:val="22"/>
        </w:rPr>
        <w:t>. Any term contained in the Supplement shall supersede any conflicting term contained herein.</w:t>
      </w:r>
    </w:p>
    <w:p>
      <w:pPr>
        <w:pStyle w:val="TextBody"/>
        <w:bidi w:val="0"/>
        <w:spacing w:before="0" w:after="0"/>
        <w:jc w:val="left"/>
        <w:rPr/>
      </w:pPr>
      <w:r>
        <w:rPr/>
      </w:r>
    </w:p>
    <w:p>
      <w:pPr>
        <w:pStyle w:val="TextBody"/>
        <w:bidi w:val="0"/>
        <w:spacing w:lineRule="auto" w:line="288"/>
        <w:ind w:left="0" w:right="0" w:hanging="180"/>
        <w:jc w:val="left"/>
        <w:rPr/>
      </w:pPr>
      <w:r>
        <w:rPr>
          <w:rFonts w:ascii="Arial;sans-serif" w:hAnsi="Arial;sans-serif"/>
          <w:b w:val="false"/>
          <w:color w:val="000000"/>
          <w:sz w:val="13"/>
        </w:rPr>
        <w:t>2</w:t>
      </w:r>
      <w:r>
        <w:rPr>
          <w:color w:val="000000"/>
        </w:rPr>
        <w:t xml:space="preserve"> </w:t>
      </w:r>
      <w:r>
        <w:rPr>
          <w:rFonts w:ascii="Times New Roman;serif" w:hAnsi="Times New Roman;serif"/>
          <w:b w:val="false"/>
          <w:color w:val="000000"/>
          <w:sz w:val="20"/>
        </w:rPr>
        <w:t>Unlike single payment notes, where a default arises only at the stated maturity, interest-bearing notes with multiple payment dates should contain a default provision permitting acceleration of the maturity if the Issuer defaults on an interest payment.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Notification Letter for an Increase in the Maximum Amount</w:t>
      </w:r>
    </w:p>
    <w:p>
      <w:pPr>
        <w:pStyle w:val="TextBody"/>
        <w:bidi w:val="0"/>
        <w:spacing w:lineRule="auto" w:line="288" w:before="24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[_____________], 20[__]</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To:    [__], as Dealer</w:t>
        <w:br/>
        <w:br/>
        <w:t>cc.    [__], as Issuing and Paying Agent</w:t>
      </w:r>
    </w:p>
    <w:p>
      <w:pPr>
        <w:pStyle w:val="TextBody"/>
        <w:bidi w:val="0"/>
        <w:spacing w:lineRule="auto" w:line="288" w:before="240" w:after="240"/>
        <w:ind w:left="0" w:right="0" w:firstLine="720"/>
        <w:jc w:val="center"/>
        <w:rPr/>
      </w:pPr>
      <w:r>
        <w:rPr>
          <w:rFonts w:ascii="Times New Roman;serif" w:hAnsi="Times New Roman;serif"/>
          <w:b w:val="false"/>
          <w:color w:val="000000"/>
          <w:sz w:val="24"/>
        </w:rPr>
        <w:t>Re:    </w:t>
      </w:r>
      <w:r>
        <w:rPr>
          <w:rFonts w:ascii="Times New Roman;serif" w:hAnsi="Times New Roman;serif"/>
          <w:b w:val="false"/>
          <w:color w:val="000000"/>
          <w:sz w:val="24"/>
          <w:u w:val="single"/>
        </w:rPr>
        <w:t>Commercial Paper Program of Illumina, Inc.</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refer to a commercial paper dealer agreement, dated as of [ ], 2026 (as amended, supplemented and otherwise modified from time to time, the “Dealer Agreement”) between Illumina, Inc., as Issuer, and you, as Dealer, relating to a commercial paper program with a Maximum Amount of $[_________] as of the date hereof.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in this letter (this “Letter”) shall have the meanings ascribed to such terms in the Dealer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accordance with Section 1.8 of the Dealer Agreement, we hereby notify you that the Maximum Amount shall be increased from [_________] to [_________], effective on [_____________], 20[__], subject to the delivery to you and the Issuing and Paying Agent of the following documents:</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a certificate from a duly authorized officer of the Issuer confirming that no changes have been made to the organizational documents of the Issuer since the date of the Dealer Agreement or, if there have been any changes, a certified copy of the related organizational documents currently in force;</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certified copies of all documents evidencing the internal authorization and approval required for such an increase in the Maximum Amount;</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an updated or supplemental Private Placement Memorandum reflecting the increase in the Maximum Amount of the Program;</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a legal opinion of counsel to the Issuer, addressed to the Dealer, in form and substance reasonably satisfactory to the Dealer; and</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evidence from each nationally recognized statistical rating organization providing a rating of the Notes either (A) that such rating has been confirmed after giving effect to the increase in the Maximum Amount or (B) setting forth any change in the rating of the Notes after giving effect to the increase in the Maximum Amount.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its execution hereof, the Issuer shall be deemed to represent and warrant that its representations and warranties in the Dealer Agreement are true and correct on and as of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hereof as if made on and as of the date hereof and shall be true and correct after giving effect to the increase of the Maximum Amount.</w:t>
      </w:r>
      <w:r>
        <w:rPr>
          <w:color w:val="000000"/>
        </w:rPr>
        <w:t xml:space="preserve"> </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24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Letter to be executed as of the date and year first above written.</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Illumina, Inc.,</w:t>
        <w:br/>
        <w:t>as Issuer</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w:t>
        <w:br/>
        <w:t>Name:     </w:t>
        <w:br/>
        <w:t>Title: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15794</Words>
  <Characters>80856</Characters>
  <CharactersWithSpaces>96533</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