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0" w:lineRule="exact"/>
        <w:rPr>
          <w:sz w:val="24"/>
          <w:szCs w:val="24"/>
          <w:color w:val="auto"/>
        </w:rPr>
      </w:pPr>
    </w:p>
    <w:p>
      <w:pPr>
        <w:spacing w:after="0" w:line="26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156845</wp:posOffset>
            </wp:positionV>
            <wp:extent cx="1714500"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Illumina, Inc.</w:t>
      </w:r>
    </w:p>
    <w:p>
      <w:pPr>
        <w:spacing w:after="0" w:line="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001-35406</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(Commission File Number)</w:t>
      </w:r>
    </w:p>
    <w:p>
      <w:pPr>
        <w:sectPr>
          <w:pgSz w:w="11900" w:h="16838" w:orient="portrait"/>
          <w:cols w:equalWidth="0" w:num="1">
            <w:col w:w="11080"/>
          </w:cols>
          <w:pgMar w:left="320" w:top="1204" w:right="499" w:bottom="1440" w:gutter="0" w:footer="0" w:header="0"/>
        </w:sectPr>
      </w:pPr>
    </w:p>
    <w:p>
      <w:pPr>
        <w:spacing w:after="0" w:line="41"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33-0804655</w:t>
      </w:r>
    </w:p>
    <w:p>
      <w:pPr>
        <w:spacing w:after="0" w:line="51" w:lineRule="exact"/>
        <w:rPr>
          <w:sz w:val="24"/>
          <w:szCs w:val="24"/>
          <w:color w:val="auto"/>
        </w:rPr>
      </w:pPr>
    </w:p>
    <w:p>
      <w:pPr>
        <w:sectPr>
          <w:pgSz w:w="11900" w:h="16838" w:orient="portrait"/>
          <w:cols w:equalWidth="0" w:num="2">
            <w:col w:w="7460" w:space="720"/>
            <w:col w:w="2900"/>
          </w:cols>
          <w:pgMar w:left="320" w:top="1204" w:right="499" w:bottom="1440" w:gutter="0" w:footer="0" w:header="0"/>
          <w:type w:val="continuous"/>
        </w:sectPr>
      </w:pPr>
    </w:p>
    <w:p>
      <w:pPr>
        <w:ind w:left="10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580" w:space="720"/>
            <w:col w:w="3780"/>
          </w:cols>
          <w:pgMar w:left="320" w:top="1204" w:right="499" w:bottom="1440" w:gutter="0" w:footer="0" w:header="0"/>
          <w:type w:val="continuous"/>
        </w:sectPr>
      </w:pPr>
    </w:p>
    <w:p>
      <w:pPr>
        <w:spacing w:after="0" w:line="1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5200 Illumina Way, San Diego, CA 92122</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(858) 202-4500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5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1204" w:right="499" w:bottom="1440" w:gutter="0" w:footer="0" w:header="0"/>
          <w:type w:val="continuous"/>
        </w:sectPr>
      </w:pPr>
    </w:p>
    <w:p>
      <w:pPr>
        <w:spacing w:after="0" w:line="59"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51" w:lineRule="exact"/>
        <w:rPr>
          <w:sz w:val="24"/>
          <w:szCs w:val="24"/>
          <w:color w:val="auto"/>
        </w:rPr>
      </w:pPr>
    </w:p>
    <w:p>
      <w:pPr>
        <w:sectPr>
          <w:pgSz w:w="11900" w:h="16838" w:orient="portrait"/>
          <w:cols w:equalWidth="0" w:num="3">
            <w:col w:w="4180" w:space="720"/>
            <w:col w:w="1620" w:space="720"/>
            <w:col w:w="3840"/>
          </w:cols>
          <w:pgMar w:left="320" w:top="1204" w:right="49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8"/>
          <w:szCs w:val="18"/>
          <w:color w:val="auto"/>
        </w:rPr>
        <w:t>ILMN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Nasdaq Stock Market LLC</w:t>
      </w:r>
    </w:p>
    <w:p>
      <w:pPr>
        <w:spacing w:after="0" w:line="211" w:lineRule="exact"/>
        <w:rPr>
          <w:sz w:val="24"/>
          <w:szCs w:val="24"/>
          <w:color w:val="auto"/>
        </w:rPr>
      </w:pPr>
    </w:p>
    <w:p>
      <w:pPr>
        <w:sectPr>
          <w:pgSz w:w="11900" w:h="16838" w:orient="portrait"/>
          <w:cols w:equalWidth="0" w:num="3">
            <w:col w:w="4680" w:space="720"/>
            <w:col w:w="1660" w:space="720"/>
            <w:col w:w="3300"/>
          </w:cols>
          <w:pgMar w:left="320" w:top="1204" w:right="499" w:bottom="1440" w:gutter="0" w:footer="0" w:header="0"/>
          <w:type w:val="continuous"/>
        </w:sectPr>
      </w:pPr>
    </w:p>
    <w:p>
      <w:pPr>
        <w:spacing w:after="0" w:line="12"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04" w:right="499" w:bottom="1440" w:gutter="0" w:footer="0" w:header="0"/>
          <w:type w:val="continuous"/>
        </w:sectPr>
      </w:pPr>
    </w:p>
    <w:bookmarkStart w:id="1" w:name="page2"/>
    <w:bookmarkEnd w:id="1"/>
    <w:p>
      <w:pPr>
        <w:jc w:val="right"/>
        <w:ind w:right="3559"/>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2.02 Results of Operations and Financial Condition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Item 9.01 Financial Statements and Exhibits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29, 2026, Illumina, Inc. (the “Company”) issued a press release announcing financial results for the third quarter ended September 27,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Company’s press release is attached hereto as Exhibit 99.1.</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shall not be deemed to be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7"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October 29, 2026, announcing Illumina, Inc.’s financial results for the third quarter ended September 27, 2026</w:t>
      </w:r>
    </w:p>
    <w:p>
      <w:pPr>
        <w:spacing w:after="0" w:line="25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ILLUMINA, INC.</w:t>
            </w:r>
          </w:p>
        </w:tc>
      </w:tr>
      <w:tr>
        <w:trPr>
          <w:trHeight w:val="432"/>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October 29, 2026</w:t>
            </w:r>
          </w:p>
        </w:tc>
        <w:tc>
          <w:tcPr>
            <w:tcW w:w="25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ANKUR DHINGRA</w:t>
            </w:r>
          </w:p>
        </w:tc>
      </w:tr>
      <w:tr>
        <w:trPr>
          <w:trHeight w:val="237"/>
        </w:trPr>
        <w:tc>
          <w:tcPr>
            <w:tcW w:w="3740" w:type="dxa"/>
            <w:vAlign w:val="bottom"/>
          </w:tcPr>
          <w:p>
            <w:pPr>
              <w:spacing w:after="0"/>
              <w:rPr>
                <w:sz w:val="20"/>
                <w:szCs w:val="20"/>
                <w:color w:val="auto"/>
              </w:rPr>
            </w:pPr>
          </w:p>
        </w:tc>
        <w:tc>
          <w:tcPr>
            <w:tcW w:w="25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Ankur Dhingra</w:t>
            </w:r>
          </w:p>
        </w:tc>
      </w:tr>
      <w:tr>
        <w:trPr>
          <w:trHeight w:val="243"/>
        </w:trPr>
        <w:tc>
          <w:tcPr>
            <w:tcW w:w="3740" w:type="dxa"/>
            <w:vAlign w:val="bottom"/>
          </w:tcPr>
          <w:p>
            <w:pPr>
              <w:spacing w:after="0"/>
              <w:rPr>
                <w:sz w:val="21"/>
                <w:szCs w:val="21"/>
                <w:color w:val="auto"/>
              </w:rPr>
            </w:pPr>
          </w:p>
        </w:tc>
        <w:tc>
          <w:tcPr>
            <w:tcW w:w="25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222"/>
        </w:trPr>
        <w:tc>
          <w:tcPr>
            <w:tcW w:w="37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7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9420" w:type="dxa"/>
            <w:vAlign w:val="bottom"/>
          </w:tcPr>
          <w:p>
            <w:pPr>
              <w:spacing w:after="0"/>
              <w:rPr>
                <w:sz w:val="17"/>
                <w:szCs w:val="17"/>
                <w:color w:val="auto"/>
              </w:rPr>
            </w:pPr>
          </w:p>
        </w:tc>
      </w:tr>
      <w:tr>
        <w:trPr>
          <w:trHeight w:val="480"/>
        </w:trPr>
        <w:tc>
          <w:tcPr>
            <w:tcW w:w="1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20" w:type="dxa"/>
            <w:vAlign w:val="bottom"/>
          </w:tcPr>
          <w:p>
            <w:pPr>
              <w:ind w:left="33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70"/>
        </w:trPr>
        <w:tc>
          <w:tcPr>
            <w:tcW w:w="100" w:type="dxa"/>
            <w:vAlign w:val="bottom"/>
          </w:tcPr>
          <w:p>
            <w:pPr>
              <w:spacing w:after="0"/>
              <w:rPr>
                <w:sz w:val="23"/>
                <w:szCs w:val="23"/>
                <w:color w:val="auto"/>
              </w:rPr>
            </w:pPr>
          </w:p>
        </w:tc>
        <w:tc>
          <w:tcPr>
            <w:tcW w:w="15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Exhibit Number</w:t>
            </w:r>
          </w:p>
        </w:tc>
        <w:tc>
          <w:tcPr>
            <w:tcW w:w="100" w:type="dxa"/>
            <w:vAlign w:val="bottom"/>
          </w:tcPr>
          <w:p>
            <w:pPr>
              <w:spacing w:after="0"/>
              <w:rPr>
                <w:sz w:val="23"/>
                <w:szCs w:val="23"/>
                <w:color w:val="auto"/>
              </w:rPr>
            </w:pPr>
          </w:p>
        </w:tc>
        <w:tc>
          <w:tcPr>
            <w:tcW w:w="9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196"/>
        </w:trPr>
        <w:tc>
          <w:tcPr>
            <w:tcW w:w="700" w:type="dxa"/>
            <w:vAlign w:val="bottom"/>
            <w:gridSpan w:val="2"/>
          </w:tcPr>
          <w:p>
            <w:pPr>
              <w:spacing w:after="0"/>
              <w:rPr>
                <w:sz w:val="17"/>
                <w:szCs w:val="17"/>
                <w:color w:val="auto"/>
              </w:rPr>
            </w:pPr>
          </w:p>
        </w:tc>
        <w:tc>
          <w:tcPr>
            <w:tcW w:w="660" w:type="dxa"/>
            <w:vAlign w:val="bottom"/>
            <w:gridSpan w:val="2"/>
          </w:tcPr>
          <w:p>
            <w:pPr>
              <w:jc w:val="center"/>
              <w:ind w:right="320"/>
              <w:spacing w:after="0" w:line="196"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Press release dated October 29, 2026 announcing Illumina, Inc.’s financial results for the third quarter ended September 27, 2026</w:t>
            </w:r>
          </w:p>
        </w:tc>
      </w:tr>
      <w:tr>
        <w:trPr>
          <w:trHeight w:val="277"/>
        </w:trPr>
        <w:tc>
          <w:tcPr>
            <w:tcW w:w="700" w:type="dxa"/>
            <w:vAlign w:val="bottom"/>
            <w:gridSpan w:val="2"/>
          </w:tcPr>
          <w:p>
            <w:pPr>
              <w:spacing w:after="0"/>
              <w:rPr>
                <w:sz w:val="24"/>
                <w:szCs w:val="24"/>
                <w:color w:val="auto"/>
              </w:rPr>
            </w:pPr>
          </w:p>
        </w:tc>
        <w:tc>
          <w:tcPr>
            <w:tcW w:w="32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160"/>
          </w:cols>
          <w:pgMar w:left="320" w:top="878" w:right="419" w:bottom="1440" w:gutter="0" w:footer="0" w:header="0"/>
        </w:sectPr>
      </w:pPr>
    </w:p>
    <w:bookmarkStart w:id="6" w:name="page7"/>
    <w:bookmarkEnd w:id="6"/>
    <w:p>
      <w:pPr>
        <w:ind w:left="8760"/>
        <w:spacing w:after="0"/>
        <w:rPr>
          <w:sz w:val="20"/>
          <w:szCs w:val="20"/>
          <w:color w:val="auto"/>
        </w:rPr>
      </w:pPr>
      <w:r>
        <w:rPr>
          <w:rFonts w:ascii="Arial" w:cs="Arial" w:eastAsia="Arial" w:hAnsi="Arial"/>
          <w:sz w:val="16"/>
          <w:szCs w:val="16"/>
          <w:color w:val="auto"/>
        </w:rPr>
        <w:t>Investors:</w:t>
      </w:r>
    </w:p>
    <w:p>
      <w:pPr>
        <w:ind w:left="8760"/>
        <w:spacing w:after="0" w:line="211" w:lineRule="auto"/>
        <w:rPr>
          <w:sz w:val="20"/>
          <w:szCs w:val="20"/>
          <w:color w:val="auto"/>
        </w:rPr>
      </w:pPr>
      <w:r>
        <w:rPr>
          <w:rFonts w:ascii="Arial" w:cs="Arial" w:eastAsia="Arial" w:hAnsi="Arial"/>
          <w:sz w:val="16"/>
          <w:szCs w:val="16"/>
          <w:color w:val="auto"/>
        </w:rPr>
        <w:t>Conor McNamara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-43180</wp:posOffset>
            </wp:positionV>
            <wp:extent cx="1757045" cy="436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57045" cy="436880"/>
                    </a:xfrm>
                    <a:prstGeom prst="rect">
                      <a:avLst/>
                    </a:prstGeom>
                    <a:noFill/>
                  </pic:spPr>
                </pic:pic>
              </a:graphicData>
            </a:graphic>
          </wp:anchor>
        </w:drawing>
      </w:r>
    </w:p>
    <w:p>
      <w:pPr>
        <w:ind w:left="8760"/>
        <w:spacing w:after="0" w:line="211" w:lineRule="auto"/>
        <w:rPr>
          <w:sz w:val="20"/>
          <w:szCs w:val="20"/>
          <w:color w:val="auto"/>
        </w:rPr>
      </w:pPr>
      <w:r>
        <w:rPr>
          <w:rFonts w:ascii="Arial" w:cs="Arial" w:eastAsia="Arial" w:hAnsi="Arial"/>
          <w:sz w:val="16"/>
          <w:szCs w:val="16"/>
          <w:color w:val="auto"/>
        </w:rPr>
        <w:t>+1.858.291.6421</w:t>
      </w:r>
    </w:p>
    <w:p>
      <w:pPr>
        <w:ind w:left="8760"/>
        <w:spacing w:after="0"/>
        <w:rPr>
          <w:sz w:val="20"/>
          <w:szCs w:val="20"/>
          <w:color w:val="auto"/>
        </w:rPr>
      </w:pPr>
      <w:r>
        <w:rPr>
          <w:rFonts w:ascii="Arial" w:cs="Arial" w:eastAsia="Arial" w:hAnsi="Arial"/>
          <w:sz w:val="16"/>
          <w:szCs w:val="16"/>
          <w:color w:val="auto"/>
        </w:rPr>
        <w:t>ir@illumina.com</w:t>
      </w:r>
    </w:p>
    <w:p>
      <w:pPr>
        <w:spacing w:after="0" w:line="267" w:lineRule="exact"/>
        <w:rPr>
          <w:sz w:val="20"/>
          <w:szCs w:val="20"/>
          <w:color w:val="auto"/>
        </w:rPr>
      </w:pPr>
    </w:p>
    <w:p>
      <w:pPr>
        <w:ind w:left="8760"/>
        <w:spacing w:after="0"/>
        <w:rPr>
          <w:sz w:val="20"/>
          <w:szCs w:val="20"/>
          <w:color w:val="auto"/>
        </w:rPr>
      </w:pPr>
      <w:r>
        <w:rPr>
          <w:rFonts w:ascii="Arial" w:cs="Arial" w:eastAsia="Arial" w:hAnsi="Arial"/>
          <w:sz w:val="16"/>
          <w:szCs w:val="16"/>
          <w:color w:val="auto"/>
        </w:rPr>
        <w:t>Media:</w:t>
      </w:r>
    </w:p>
    <w:p>
      <w:pPr>
        <w:ind w:left="8760"/>
        <w:spacing w:after="0" w:line="211" w:lineRule="auto"/>
        <w:rPr>
          <w:sz w:val="20"/>
          <w:szCs w:val="20"/>
          <w:color w:val="auto"/>
        </w:rPr>
      </w:pPr>
      <w:r>
        <w:rPr>
          <w:rFonts w:ascii="Arial" w:cs="Arial" w:eastAsia="Arial" w:hAnsi="Arial"/>
          <w:sz w:val="16"/>
          <w:szCs w:val="16"/>
          <w:color w:val="auto"/>
        </w:rPr>
        <w:t>Christine Douglass</w:t>
      </w:r>
    </w:p>
    <w:p>
      <w:pPr>
        <w:ind w:left="8760"/>
        <w:spacing w:after="0"/>
        <w:rPr>
          <w:sz w:val="20"/>
          <w:szCs w:val="20"/>
          <w:color w:val="auto"/>
        </w:rPr>
      </w:pPr>
      <w:r>
        <w:rPr>
          <w:rFonts w:ascii="Arial" w:cs="Arial" w:eastAsia="Arial" w:hAnsi="Arial"/>
          <w:sz w:val="16"/>
          <w:szCs w:val="16"/>
          <w:color w:val="auto"/>
        </w:rPr>
        <w:t>pr@illumina.com</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Illumina Reports Financial Results for Third Quarter of Fiscal Year 2026</w:t>
      </w:r>
    </w:p>
    <w:p>
      <w:pPr>
        <w:spacing w:after="0" w:line="24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San Diego, October 29, 2026 /PRNewswire/ -- Illumina, Inc. (Nasdaq: ILMN) (“Illumina” or the “company”) today announced its financial results for the third quarter of fiscal year 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Third </w:t>
      </w:r>
      <w:r>
        <w:rPr>
          <w:rFonts w:ascii="Arial" w:cs="Arial" w:eastAsia="Arial" w:hAnsi="Arial"/>
          <w:sz w:val="18"/>
          <w:szCs w:val="18"/>
          <w:b w:val="1"/>
          <w:bCs w:val="1"/>
          <w:u w:val="single" w:color="auto"/>
          <w:color w:val="auto"/>
          <w:highlight w:val="white"/>
        </w:rPr>
        <w:t>quarter</w:t>
      </w:r>
      <w:r>
        <w:rPr>
          <w:rFonts w:ascii="Arial" w:cs="Arial" w:eastAsia="Arial" w:hAnsi="Arial"/>
          <w:sz w:val="18"/>
          <w:szCs w:val="18"/>
          <w:b w:val="1"/>
          <w:bCs w:val="1"/>
          <w:u w:val="single" w:color="auto"/>
          <w:color w:val="auto"/>
        </w:rPr>
        <w:t xml:space="preserve"> 2026 </w:t>
      </w:r>
      <w:r>
        <w:rPr>
          <w:rFonts w:ascii="Arial" w:cs="Arial" w:eastAsia="Arial" w:hAnsi="Arial"/>
          <w:sz w:val="18"/>
          <w:szCs w:val="18"/>
          <w:b w:val="1"/>
          <w:bCs w:val="1"/>
          <w:u w:val="single" w:color="auto"/>
          <w:color w:val="auto"/>
          <w:highlight w:val="white"/>
        </w:rPr>
        <w:t>results</w:t>
      </w:r>
    </w:p>
    <w:p>
      <w:pPr>
        <w:spacing w:after="0" w:line="63" w:lineRule="exact"/>
        <w:rPr>
          <w:sz w:val="20"/>
          <w:szCs w:val="20"/>
          <w:color w:val="auto"/>
        </w:rPr>
      </w:pPr>
    </w:p>
    <w:p>
      <w:pPr>
        <w:ind w:left="340" w:right="340" w:hanging="332"/>
        <w:spacing w:after="0" w:line="229"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Reported revenue was $1.13 billion for Q3 2026, up 4.2% from Q3 2025. Revenue excluding tariff refunds was $1.17 billion, up 4.7% after also excluding the impacts of currency, acquisitions, and the Greater China region (“ROW</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organic revenue growth”).</w:t>
      </w:r>
    </w:p>
    <w:p>
      <w:pPr>
        <w:ind w:left="320" w:hanging="312"/>
        <w:spacing w:after="0" w:line="207" w:lineRule="exact"/>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operating margin was 27.0% and non</w:t>
      </w:r>
      <w:r>
        <w:rPr>
          <w:rFonts w:ascii="MS PGothic" w:cs="MS PGothic" w:eastAsia="MS PGothic" w:hAnsi="MS PGothic"/>
          <w:sz w:val="18"/>
          <w:szCs w:val="18"/>
          <w:color w:val="auto"/>
        </w:rPr>
        <w:t>‑</w:t>
      </w:r>
      <w:r>
        <w:rPr>
          <w:rFonts w:ascii="Arial" w:cs="Arial" w:eastAsia="Arial" w:hAnsi="Arial"/>
          <w:sz w:val="18"/>
          <w:szCs w:val="18"/>
          <w:color w:val="auto"/>
        </w:rPr>
        <w:t>GAAP operating margin, excluding tariff refunds, was 25.0%.</w:t>
      </w:r>
    </w:p>
    <w:p>
      <w:pPr>
        <w:spacing w:after="0" w:line="9" w:lineRule="exact"/>
        <w:rPr>
          <w:rFonts w:ascii="Arial" w:cs="Arial" w:eastAsia="Arial" w:hAnsi="Arial"/>
          <w:sz w:val="18"/>
          <w:szCs w:val="18"/>
          <w:color w:val="auto"/>
        </w:rPr>
      </w:pPr>
    </w:p>
    <w:p>
      <w:pPr>
        <w:ind w:left="320" w:hanging="312"/>
        <w:spacing w:after="0" w:line="207" w:lineRule="exact"/>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diluted EPS was $1.43 and non</w:t>
      </w:r>
      <w:r>
        <w:rPr>
          <w:rFonts w:ascii="MS PGothic" w:cs="MS PGothic" w:eastAsia="MS PGothic" w:hAnsi="MS PGothic"/>
          <w:sz w:val="18"/>
          <w:szCs w:val="18"/>
          <w:color w:val="auto"/>
        </w:rPr>
        <w:t>‑</w:t>
      </w:r>
      <w:r>
        <w:rPr>
          <w:rFonts w:ascii="Arial" w:cs="Arial" w:eastAsia="Arial" w:hAnsi="Arial"/>
          <w:sz w:val="18"/>
          <w:szCs w:val="18"/>
          <w:color w:val="auto"/>
        </w:rPr>
        <w:t>GAAP diluted EPS, excluding tariff refunds, was $1.44.</w:t>
      </w:r>
    </w:p>
    <w:p>
      <w:pPr>
        <w:spacing w:after="0" w:line="221"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“In the third quarter, healthy clinical demand and robust NovaSeq X placements drove results above our guidance. Based on continued momentum, we are raising our full year revenue and earnings guidance,” said Jacob Thaysen, Chief Executive Officer of Illumina. “As we continue to execute our strategy, our innovation is broadening the value of the Illumina ecosystem. Together with our customers, we are laying the foundation for AI to transform our understanding of human biology and improve patient outcomes.”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year 2026 guidance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 2026 and excluding tariff refunds, Illumina now expects:</w:t>
      </w:r>
    </w:p>
    <w:p>
      <w:pPr>
        <w:spacing w:after="0" w:line="27"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 of $4.64-$4.66 billion versus prior guidance of $4.60-$4.64 billion.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Organic revenue growth greater than 4% and ROW organic revenue growth greater than 5%, both unchanged versus prior guidance.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operating margin of 23.6% versus prior guidance of 23.4%-23.6%.</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diluted EPS of $5.40-$5.45 versus prior guidance of $5.30-$5.40.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results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GAAP</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4"/>
            <w:vMerge w:val="restart"/>
          </w:tcPr>
          <w:p>
            <w:pPr>
              <w:jc w:val="right"/>
              <w:ind w:right="673"/>
              <w:spacing w:after="0"/>
              <w:rPr>
                <w:sz w:val="20"/>
                <w:szCs w:val="20"/>
                <w:color w:val="auto"/>
              </w:rPr>
            </w:pPr>
            <w:r>
              <w:rPr>
                <w:rFonts w:ascii="Arial" w:cs="Arial" w:eastAsia="Arial" w:hAnsi="Arial"/>
                <w:sz w:val="16"/>
                <w:szCs w:val="16"/>
                <w:b w:val="1"/>
                <w:bCs w:val="1"/>
                <w:color w:val="auto"/>
              </w:rPr>
              <w:t>Non-GAAP (a)</w:t>
            </w:r>
          </w:p>
        </w:tc>
        <w:tc>
          <w:tcPr>
            <w:tcW w:w="100" w:type="dxa"/>
            <w:vAlign w:val="bottom"/>
            <w:vMerge w:val="restart"/>
          </w:tcPr>
          <w:p>
            <w:pPr>
              <w:spacing w:after="0"/>
              <w:rPr>
                <w:sz w:val="16"/>
                <w:szCs w:val="16"/>
                <w:color w:val="auto"/>
              </w:rPr>
            </w:pPr>
          </w:p>
        </w:tc>
        <w:tc>
          <w:tcPr>
            <w:tcW w:w="1780" w:type="dxa"/>
            <w:vAlign w:val="bottom"/>
            <w:gridSpan w:val="2"/>
          </w:tcPr>
          <w:p>
            <w:pPr>
              <w:jc w:val="center"/>
              <w:spacing w:after="0"/>
              <w:rPr>
                <w:sz w:val="20"/>
                <w:szCs w:val="20"/>
                <w:color w:val="auto"/>
              </w:rPr>
            </w:pPr>
            <w:r>
              <w:rPr>
                <w:rFonts w:ascii="Arial" w:cs="Arial" w:eastAsia="Arial" w:hAnsi="Arial"/>
                <w:sz w:val="16"/>
                <w:szCs w:val="16"/>
                <w:b w:val="1"/>
                <w:bCs w:val="1"/>
                <w:color w:val="auto"/>
              </w:rPr>
              <w:t>Non-GAAP Excluding</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vMerge w:val="continue"/>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rPr>
              <w:t>Tariff Refunds (b)</w:t>
            </w:r>
          </w:p>
        </w:tc>
        <w:tc>
          <w:tcPr>
            <w:tcW w:w="0" w:type="dxa"/>
            <w:vAlign w:val="bottom"/>
          </w:tcPr>
          <w:p>
            <w:pPr>
              <w:spacing w:after="0"/>
              <w:rPr>
                <w:sz w:val="1"/>
                <w:szCs w:val="1"/>
                <w:color w:val="auto"/>
              </w:rPr>
            </w:pPr>
          </w:p>
        </w:tc>
      </w:tr>
      <w:tr>
        <w:trPr>
          <w:trHeight w:val="208"/>
        </w:trPr>
        <w:tc>
          <w:tcPr>
            <w:tcW w:w="4080" w:type="dxa"/>
            <w:vAlign w:val="bottom"/>
          </w:tcPr>
          <w:p>
            <w:pPr>
              <w:ind w:left="20"/>
              <w:spacing w:after="0"/>
              <w:rPr>
                <w:sz w:val="20"/>
                <w:szCs w:val="20"/>
                <w:color w:val="auto"/>
              </w:rPr>
            </w:pPr>
            <w:r>
              <w:rPr>
                <w:rFonts w:ascii="Arial" w:cs="Arial" w:eastAsia="Arial" w:hAnsi="Arial"/>
                <w:sz w:val="16"/>
                <w:szCs w:val="16"/>
                <w:i w:val="1"/>
                <w:iCs w:val="1"/>
                <w:color w:val="auto"/>
              </w:rPr>
              <w:t>Dollars in millions, except per share amounts</w:t>
            </w:r>
          </w:p>
        </w:tc>
        <w:tc>
          <w:tcPr>
            <w:tcW w:w="2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Q3 2026</w:t>
            </w:r>
          </w:p>
        </w:tc>
        <w:tc>
          <w:tcPr>
            <w:tcW w:w="2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Q3 2025</w:t>
            </w:r>
          </w:p>
        </w:tc>
        <w:tc>
          <w:tcPr>
            <w:tcW w:w="22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Q3 2026</w:t>
            </w:r>
          </w:p>
        </w:tc>
        <w:tc>
          <w:tcPr>
            <w:tcW w:w="22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Q3 2025</w:t>
            </w:r>
          </w:p>
        </w:tc>
        <w:tc>
          <w:tcPr>
            <w:tcW w:w="160" w:type="dxa"/>
            <w:vAlign w:val="bottom"/>
          </w:tcPr>
          <w:p>
            <w:pPr>
              <w:spacing w:after="0"/>
              <w:rPr>
                <w:sz w:val="18"/>
                <w:szCs w:val="18"/>
                <w:color w:val="auto"/>
              </w:rPr>
            </w:pPr>
          </w:p>
        </w:tc>
        <w:tc>
          <w:tcPr>
            <w:tcW w:w="1620" w:type="dxa"/>
            <w:vAlign w:val="bottom"/>
          </w:tcPr>
          <w:p>
            <w:pPr>
              <w:jc w:val="center"/>
              <w:ind w:right="74"/>
              <w:spacing w:after="0"/>
              <w:rPr>
                <w:sz w:val="20"/>
                <w:szCs w:val="20"/>
                <w:color w:val="auto"/>
              </w:rPr>
            </w:pPr>
            <w:r>
              <w:rPr>
                <w:rFonts w:ascii="Arial" w:cs="Arial" w:eastAsia="Arial" w:hAnsi="Arial"/>
                <w:sz w:val="14"/>
                <w:szCs w:val="14"/>
                <w:b w:val="1"/>
                <w:bCs w:val="1"/>
                <w:color w:val="auto"/>
              </w:rPr>
              <w:t>Q3 2026</w:t>
            </w:r>
          </w:p>
        </w:tc>
        <w:tc>
          <w:tcPr>
            <w:tcW w:w="0" w:type="dxa"/>
            <w:vAlign w:val="bottom"/>
          </w:tcPr>
          <w:p>
            <w:pPr>
              <w:spacing w:after="0"/>
              <w:rPr>
                <w:sz w:val="1"/>
                <w:szCs w:val="1"/>
                <w:color w:val="auto"/>
              </w:rPr>
            </w:pPr>
          </w:p>
        </w:tc>
      </w:tr>
      <w:tr>
        <w:trPr>
          <w:trHeight w:val="238"/>
        </w:trPr>
        <w:tc>
          <w:tcPr>
            <w:tcW w:w="408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DDDDDD"/>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DDDDDD"/>
          </w:tcPr>
          <w:p>
            <w:pPr>
              <w:jc w:val="right"/>
              <w:ind w:right="154"/>
              <w:spacing w:after="0"/>
              <w:rPr>
                <w:sz w:val="20"/>
                <w:szCs w:val="20"/>
                <w:color w:val="auto"/>
              </w:rPr>
            </w:pPr>
            <w:r>
              <w:rPr>
                <w:rFonts w:ascii="Arial" w:cs="Arial" w:eastAsia="Arial" w:hAnsi="Arial"/>
                <w:sz w:val="18"/>
                <w:szCs w:val="18"/>
                <w:b w:val="1"/>
                <w:bCs w:val="1"/>
                <w:color w:val="auto"/>
              </w:rPr>
              <w:t>1,129</w:t>
            </w:r>
          </w:p>
        </w:tc>
        <w:tc>
          <w:tcPr>
            <w:tcW w:w="100" w:type="dxa"/>
            <w:vAlign w:val="bottom"/>
            <w:tcBorders>
              <w:top w:val="single" w:sz="8" w:color="DDDDDD"/>
            </w:tcBorders>
            <w:shd w:val="clear" w:color="auto" w:fill="DDDDDD"/>
          </w:tcPr>
          <w:p>
            <w:pPr>
              <w:spacing w:after="0"/>
              <w:rPr>
                <w:sz w:val="20"/>
                <w:szCs w:val="20"/>
                <w:color w:val="auto"/>
              </w:rPr>
            </w:pPr>
          </w:p>
        </w:tc>
        <w:tc>
          <w:tcPr>
            <w:tcW w:w="260" w:type="dxa"/>
            <w:vAlign w:val="bottom"/>
            <w:tcBorders>
              <w:top w:val="single" w:sz="8" w:color="auto"/>
            </w:tcBorders>
            <w:shd w:val="clear" w:color="auto" w:fill="DDDDDD"/>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DDDDDD"/>
          </w:tcPr>
          <w:p>
            <w:pPr>
              <w:jc w:val="right"/>
              <w:ind w:right="153"/>
              <w:spacing w:after="0"/>
              <w:rPr>
                <w:sz w:val="20"/>
                <w:szCs w:val="20"/>
                <w:color w:val="auto"/>
              </w:rPr>
            </w:pPr>
            <w:r>
              <w:rPr>
                <w:rFonts w:ascii="Arial" w:cs="Arial" w:eastAsia="Arial" w:hAnsi="Arial"/>
                <w:sz w:val="18"/>
                <w:szCs w:val="18"/>
                <w:color w:val="auto"/>
              </w:rPr>
              <w:t>1,084</w:t>
            </w:r>
          </w:p>
        </w:tc>
        <w:tc>
          <w:tcPr>
            <w:tcW w:w="100" w:type="dxa"/>
            <w:vAlign w:val="bottom"/>
            <w:tcBorders>
              <w:top w:val="single" w:sz="8" w:color="DDDDDD"/>
            </w:tcBorders>
            <w:shd w:val="clear" w:color="auto" w:fill="DDDDDD"/>
          </w:tcPr>
          <w:p>
            <w:pPr>
              <w:spacing w:after="0"/>
              <w:rPr>
                <w:sz w:val="20"/>
                <w:szCs w:val="20"/>
                <w:color w:val="auto"/>
              </w:rPr>
            </w:pPr>
          </w:p>
        </w:tc>
        <w:tc>
          <w:tcPr>
            <w:tcW w:w="220" w:type="dxa"/>
            <w:vAlign w:val="bottom"/>
            <w:tcBorders>
              <w:top w:val="single" w:sz="8" w:color="auto"/>
            </w:tcBorders>
            <w:shd w:val="clear" w:color="auto" w:fill="DDDDDD"/>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shd w:val="clear" w:color="auto" w:fill="DDDDDD"/>
          </w:tcPr>
          <w:p>
            <w:pPr>
              <w:jc w:val="right"/>
              <w:ind w:right="154"/>
              <w:spacing w:after="0"/>
              <w:rPr>
                <w:sz w:val="20"/>
                <w:szCs w:val="20"/>
                <w:color w:val="auto"/>
              </w:rPr>
            </w:pPr>
            <w:r>
              <w:rPr>
                <w:rFonts w:ascii="Arial" w:cs="Arial" w:eastAsia="Arial" w:hAnsi="Arial"/>
                <w:sz w:val="18"/>
                <w:szCs w:val="18"/>
                <w:b w:val="1"/>
                <w:bCs w:val="1"/>
                <w:color w:val="auto"/>
              </w:rPr>
              <w:t>1,129</w:t>
            </w:r>
          </w:p>
        </w:tc>
        <w:tc>
          <w:tcPr>
            <w:tcW w:w="100" w:type="dxa"/>
            <w:vAlign w:val="bottom"/>
            <w:tcBorders>
              <w:top w:val="single" w:sz="8" w:color="DDDDDD"/>
            </w:tcBorders>
            <w:shd w:val="clear" w:color="auto" w:fill="DDDDDD"/>
          </w:tcPr>
          <w:p>
            <w:pPr>
              <w:spacing w:after="0"/>
              <w:rPr>
                <w:sz w:val="20"/>
                <w:szCs w:val="20"/>
                <w:color w:val="auto"/>
              </w:rPr>
            </w:pPr>
          </w:p>
        </w:tc>
        <w:tc>
          <w:tcPr>
            <w:tcW w:w="220" w:type="dxa"/>
            <w:vAlign w:val="bottom"/>
            <w:tcBorders>
              <w:top w:val="single" w:sz="8" w:color="auto"/>
            </w:tcBorders>
            <w:shd w:val="clear" w:color="auto" w:fill="DDDDDD"/>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DDDDDD"/>
          </w:tcPr>
          <w:p>
            <w:pPr>
              <w:jc w:val="right"/>
              <w:ind w:right="153"/>
              <w:spacing w:after="0"/>
              <w:rPr>
                <w:sz w:val="20"/>
                <w:szCs w:val="20"/>
                <w:color w:val="auto"/>
              </w:rPr>
            </w:pPr>
            <w:r>
              <w:rPr>
                <w:rFonts w:ascii="Arial" w:cs="Arial" w:eastAsia="Arial" w:hAnsi="Arial"/>
                <w:sz w:val="18"/>
                <w:szCs w:val="18"/>
                <w:color w:val="auto"/>
              </w:rPr>
              <w:t>1,084</w:t>
            </w:r>
          </w:p>
        </w:tc>
        <w:tc>
          <w:tcPr>
            <w:tcW w:w="100" w:type="dxa"/>
            <w:vAlign w:val="bottom"/>
            <w:tcBorders>
              <w:top w:val="single" w:sz="8" w:color="DDDDDD"/>
            </w:tcBorders>
            <w:shd w:val="clear" w:color="auto" w:fill="DDDDDD"/>
          </w:tcPr>
          <w:p>
            <w:pPr>
              <w:spacing w:after="0"/>
              <w:rPr>
                <w:sz w:val="20"/>
                <w:szCs w:val="20"/>
                <w:color w:val="auto"/>
              </w:rPr>
            </w:pPr>
          </w:p>
        </w:tc>
        <w:tc>
          <w:tcPr>
            <w:tcW w:w="1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tcBorders>
            <w:shd w:val="clear" w:color="auto" w:fill="DDDDDD"/>
          </w:tcPr>
          <w:p>
            <w:pPr>
              <w:jc w:val="right"/>
              <w:ind w:right="154"/>
              <w:spacing w:after="0"/>
              <w:rPr>
                <w:sz w:val="20"/>
                <w:szCs w:val="20"/>
                <w:color w:val="auto"/>
              </w:rPr>
            </w:pPr>
            <w:r>
              <w:rPr>
                <w:rFonts w:ascii="Arial" w:cs="Arial" w:eastAsia="Arial" w:hAnsi="Arial"/>
                <w:sz w:val="18"/>
                <w:szCs w:val="18"/>
                <w:b w:val="1"/>
                <w:bCs w:val="1"/>
                <w:color w:val="auto"/>
              </w:rPr>
              <w:t>1,166</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73.5 %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67.6 %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75.3 %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69.2 %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69.4 %</w:t>
            </w:r>
          </w:p>
        </w:tc>
        <w:tc>
          <w:tcPr>
            <w:tcW w:w="0" w:type="dxa"/>
            <w:vAlign w:val="bottom"/>
          </w:tcPr>
          <w:p>
            <w:pPr>
              <w:spacing w:after="0"/>
              <w:rPr>
                <w:sz w:val="1"/>
                <w:szCs w:val="1"/>
                <w:color w:val="auto"/>
              </w:rPr>
            </w:pPr>
          </w:p>
        </w:tc>
      </w:tr>
      <w:tr>
        <w:trPr>
          <w:trHeight w:val="243"/>
        </w:trPr>
        <w:tc>
          <w:tcPr>
            <w:tcW w:w="408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DDDDDD"/>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DDDDD"/>
          </w:tcPr>
          <w:p>
            <w:pPr>
              <w:jc w:val="right"/>
              <w:ind w:right="154"/>
              <w:spacing w:after="0"/>
              <w:rPr>
                <w:sz w:val="20"/>
                <w:szCs w:val="20"/>
                <w:color w:val="auto"/>
              </w:rPr>
            </w:pPr>
            <w:r>
              <w:rPr>
                <w:rFonts w:ascii="Arial" w:cs="Arial" w:eastAsia="Arial" w:hAnsi="Arial"/>
                <w:sz w:val="18"/>
                <w:szCs w:val="18"/>
                <w:b w:val="1"/>
                <w:bCs w:val="1"/>
                <w:color w:val="auto"/>
              </w:rPr>
              <w:t>305</w:t>
            </w:r>
          </w:p>
        </w:tc>
        <w:tc>
          <w:tcPr>
            <w:tcW w:w="10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53"/>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DDDDDD"/>
          </w:tcPr>
          <w:p>
            <w:pPr>
              <w:spacing w:after="0"/>
              <w:rPr>
                <w:sz w:val="21"/>
                <w:szCs w:val="21"/>
                <w:color w:val="auto"/>
              </w:rPr>
            </w:pPr>
          </w:p>
        </w:tc>
        <w:tc>
          <w:tcPr>
            <w:tcW w:w="220" w:type="dxa"/>
            <w:vAlign w:val="bottom"/>
            <w:shd w:val="clear" w:color="auto" w:fill="DDDDDD"/>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DDDDDD"/>
          </w:tcPr>
          <w:p>
            <w:pPr>
              <w:jc w:val="right"/>
              <w:ind w:right="154"/>
              <w:spacing w:after="0"/>
              <w:rPr>
                <w:sz w:val="20"/>
                <w:szCs w:val="20"/>
                <w:color w:val="auto"/>
              </w:rPr>
            </w:pPr>
            <w:r>
              <w:rPr>
                <w:rFonts w:ascii="Arial" w:cs="Arial" w:eastAsia="Arial" w:hAnsi="Arial"/>
                <w:sz w:val="18"/>
                <w:szCs w:val="18"/>
                <w:b w:val="1"/>
                <w:bCs w:val="1"/>
                <w:color w:val="auto"/>
              </w:rPr>
              <w:t>325</w:t>
            </w:r>
          </w:p>
        </w:tc>
        <w:tc>
          <w:tcPr>
            <w:tcW w:w="100" w:type="dxa"/>
            <w:vAlign w:val="bottom"/>
            <w:shd w:val="clear" w:color="auto" w:fill="DDDDDD"/>
          </w:tcPr>
          <w:p>
            <w:pPr>
              <w:spacing w:after="0"/>
              <w:rPr>
                <w:sz w:val="21"/>
                <w:szCs w:val="21"/>
                <w:color w:val="auto"/>
              </w:rPr>
            </w:pPr>
          </w:p>
        </w:tc>
        <w:tc>
          <w:tcPr>
            <w:tcW w:w="2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DDDDD"/>
          </w:tcPr>
          <w:p>
            <w:pPr>
              <w:jc w:val="right"/>
              <w:ind w:right="153"/>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DDDDDD"/>
          </w:tcPr>
          <w:p>
            <w:pPr>
              <w:spacing w:after="0"/>
              <w:rPr>
                <w:sz w:val="21"/>
                <w:szCs w:val="21"/>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shd w:val="clear" w:color="auto" w:fill="DDDDDD"/>
          </w:tcPr>
          <w:p>
            <w:pPr>
              <w:jc w:val="right"/>
              <w:ind w:right="154"/>
              <w:spacing w:after="0"/>
              <w:rPr>
                <w:sz w:val="20"/>
                <w:szCs w:val="20"/>
                <w:color w:val="auto"/>
              </w:rPr>
            </w:pPr>
            <w:r>
              <w:rPr>
                <w:rFonts w:ascii="Arial" w:cs="Arial" w:eastAsia="Arial" w:hAnsi="Arial"/>
                <w:sz w:val="18"/>
                <w:szCs w:val="18"/>
                <w:b w:val="1"/>
                <w:bCs w:val="1"/>
                <w:color w:val="auto"/>
              </w:rPr>
              <w:t>292</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Operating margin</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28.8 %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25.0 %</w:t>
            </w:r>
          </w:p>
        </w:tc>
        <w:tc>
          <w:tcPr>
            <w:tcW w:w="0" w:type="dxa"/>
            <w:vAlign w:val="bottom"/>
          </w:tcPr>
          <w:p>
            <w:pPr>
              <w:spacing w:after="0"/>
              <w:rPr>
                <w:sz w:val="1"/>
                <w:szCs w:val="1"/>
                <w:color w:val="auto"/>
              </w:rPr>
            </w:pPr>
          </w:p>
        </w:tc>
      </w:tr>
      <w:tr>
        <w:trPr>
          <w:trHeight w:val="243"/>
        </w:trPr>
        <w:tc>
          <w:tcPr>
            <w:tcW w:w="4080" w:type="dxa"/>
            <w:vAlign w:val="bottom"/>
            <w:shd w:val="clear" w:color="auto" w:fill="DDDDDD"/>
          </w:tcPr>
          <w:p>
            <w:pPr>
              <w:ind w:left="20"/>
              <w:spacing w:after="0"/>
              <w:rPr>
                <w:sz w:val="20"/>
                <w:szCs w:val="20"/>
                <w:color w:val="auto"/>
              </w:rPr>
            </w:pPr>
            <w:r>
              <w:rPr>
                <w:rFonts w:ascii="Arial" w:cs="Arial" w:eastAsia="Arial" w:hAnsi="Arial"/>
                <w:sz w:val="18"/>
                <w:szCs w:val="18"/>
                <w:color w:val="auto"/>
              </w:rPr>
              <w:t>Diluted EPS</w:t>
            </w:r>
          </w:p>
        </w:tc>
        <w:tc>
          <w:tcPr>
            <w:tcW w:w="240" w:type="dxa"/>
            <w:vAlign w:val="bottom"/>
            <w:shd w:val="clear" w:color="auto" w:fill="DDDDDD"/>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DDDDD"/>
          </w:tcPr>
          <w:p>
            <w:pPr>
              <w:jc w:val="right"/>
              <w:ind w:right="154"/>
              <w:spacing w:after="0"/>
              <w:rPr>
                <w:sz w:val="20"/>
                <w:szCs w:val="20"/>
                <w:color w:val="auto"/>
              </w:rPr>
            </w:pPr>
            <w:r>
              <w:rPr>
                <w:rFonts w:ascii="Arial" w:cs="Arial" w:eastAsia="Arial" w:hAnsi="Arial"/>
                <w:sz w:val="18"/>
                <w:szCs w:val="18"/>
                <w:b w:val="1"/>
                <w:bCs w:val="1"/>
                <w:color w:val="auto"/>
              </w:rPr>
              <w:t>1.43</w:t>
            </w:r>
          </w:p>
        </w:tc>
        <w:tc>
          <w:tcPr>
            <w:tcW w:w="10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53"/>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DDDDDD"/>
          </w:tcPr>
          <w:p>
            <w:pPr>
              <w:spacing w:after="0"/>
              <w:rPr>
                <w:sz w:val="21"/>
                <w:szCs w:val="21"/>
                <w:color w:val="auto"/>
              </w:rPr>
            </w:pPr>
          </w:p>
        </w:tc>
        <w:tc>
          <w:tcPr>
            <w:tcW w:w="220" w:type="dxa"/>
            <w:vAlign w:val="bottom"/>
            <w:shd w:val="clear" w:color="auto" w:fill="DDDDDD"/>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DDDDDD"/>
          </w:tcPr>
          <w:p>
            <w:pPr>
              <w:jc w:val="right"/>
              <w:ind w:right="154"/>
              <w:spacing w:after="0"/>
              <w:rPr>
                <w:sz w:val="20"/>
                <w:szCs w:val="20"/>
                <w:color w:val="auto"/>
              </w:rPr>
            </w:pPr>
            <w:r>
              <w:rPr>
                <w:rFonts w:ascii="Arial" w:cs="Arial" w:eastAsia="Arial" w:hAnsi="Arial"/>
                <w:sz w:val="18"/>
                <w:szCs w:val="18"/>
                <w:b w:val="1"/>
                <w:bCs w:val="1"/>
                <w:color w:val="auto"/>
              </w:rPr>
              <w:t>1.62</w:t>
            </w:r>
          </w:p>
        </w:tc>
        <w:tc>
          <w:tcPr>
            <w:tcW w:w="100" w:type="dxa"/>
            <w:vAlign w:val="bottom"/>
            <w:shd w:val="clear" w:color="auto" w:fill="DDDDDD"/>
          </w:tcPr>
          <w:p>
            <w:pPr>
              <w:spacing w:after="0"/>
              <w:rPr>
                <w:sz w:val="21"/>
                <w:szCs w:val="21"/>
                <w:color w:val="auto"/>
              </w:rPr>
            </w:pPr>
          </w:p>
        </w:tc>
        <w:tc>
          <w:tcPr>
            <w:tcW w:w="2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DDDDD"/>
          </w:tcPr>
          <w:p>
            <w:pPr>
              <w:jc w:val="right"/>
              <w:ind w:right="153"/>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DDDDDD"/>
          </w:tcPr>
          <w:p>
            <w:pPr>
              <w:spacing w:after="0"/>
              <w:rPr>
                <w:sz w:val="21"/>
                <w:szCs w:val="21"/>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shd w:val="clear" w:color="auto" w:fill="DDDDDD"/>
          </w:tcPr>
          <w:p>
            <w:pPr>
              <w:jc w:val="right"/>
              <w:ind w:right="154"/>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tables in “Results of Operations - Non-GAAP” section below for GAAP and non-GAAP reconciliations.</w:t>
      </w:r>
    </w:p>
    <w:p>
      <w:pPr>
        <w:spacing w:after="0" w:line="27" w:lineRule="exact"/>
        <w:rPr>
          <w:rFonts w:ascii="Arial" w:cs="Arial" w:eastAsia="Arial" w:hAnsi="Arial"/>
          <w:sz w:val="18"/>
          <w:szCs w:val="18"/>
          <w:color w:val="auto"/>
        </w:rPr>
      </w:pPr>
    </w:p>
    <w:p>
      <w:pPr>
        <w:ind w:left="340" w:right="280" w:hanging="332"/>
        <w:spacing w:after="0" w:line="258" w:lineRule="auto"/>
        <w:tabs>
          <w:tab w:leader="none" w:pos="33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the impacts of International Emergency Economic Powers Act (IEEPA) tariff refunds expected to be recovered, consisting primarily of a $79 million benefit recognized as a reduction to cost of revenue in Q3 2026 and a reduction to revenue of $37 million for the portion of tariff refunds that we expect to credit to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20" w:hanging="112"/>
        <w:spacing w:after="0"/>
        <w:tabs>
          <w:tab w:leader="none" w:pos="12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ROW = rest-of-world, excluding Greater China region due to our inclusion on China’s Unreliable Entities List</w:t>
      </w:r>
    </w:p>
    <w:p>
      <w:pPr>
        <w:spacing w:after="0" w:line="200" w:lineRule="exact"/>
        <w:rPr>
          <w:rFonts w:ascii="Arial" w:cs="Arial" w:eastAsia="Arial" w:hAnsi="Arial"/>
          <w:sz w:val="21"/>
          <w:szCs w:val="21"/>
          <w:color w:val="auto"/>
          <w:vertAlign w:val="superscript"/>
        </w:rPr>
      </w:pPr>
    </w:p>
    <w:p>
      <w:pPr>
        <w:spacing w:after="0" w:line="323" w:lineRule="exact"/>
        <w:rPr>
          <w:rFonts w:ascii="Arial" w:cs="Arial" w:eastAsia="Arial" w:hAnsi="Arial"/>
          <w:sz w:val="21"/>
          <w:szCs w:val="21"/>
          <w:color w:val="auto"/>
          <w:vertAlign w:val="superscript"/>
        </w:rPr>
      </w:pPr>
    </w:p>
    <w:p>
      <w:pPr>
        <w:ind w:left="5580"/>
        <w:spacing w:after="0"/>
        <w:rPr>
          <w:rFonts w:ascii="Arial" w:cs="Arial" w:eastAsia="Arial" w:hAnsi="Arial"/>
          <w:sz w:val="21"/>
          <w:szCs w:val="21"/>
          <w:color w:val="auto"/>
          <w:vertAlign w:val="superscript"/>
        </w:rPr>
      </w:pPr>
      <w:r>
        <w:rPr>
          <w:rFonts w:ascii="Arial" w:cs="Arial" w:eastAsia="Arial" w:hAnsi="Arial"/>
          <w:sz w:val="18"/>
          <w:szCs w:val="18"/>
          <w:color w:val="auto"/>
        </w:rPr>
        <w:t>1</w:t>
      </w:r>
    </w:p>
    <w:p>
      <w:pPr>
        <w:sectPr>
          <w:pgSz w:w="11900" w:h="16838" w:orient="portrait"/>
          <w:cols w:equalWidth="0" w:num="1">
            <w:col w:w="11220"/>
          </w:cols>
          <w:pgMar w:left="320" w:top="943" w:right="359" w:bottom="1440" w:gutter="0" w:footer="0" w:header="0"/>
        </w:sectPr>
      </w:pPr>
    </w:p>
    <w:bookmarkStart w:id="7" w:name="page8"/>
    <w:bookmarkEnd w:id="7"/>
    <w:p>
      <w:pPr>
        <w:ind w:right="820"/>
        <w:spacing w:after="0" w:line="260" w:lineRule="auto"/>
        <w:rPr>
          <w:sz w:val="20"/>
          <w:szCs w:val="20"/>
          <w:color w:val="auto"/>
        </w:rPr>
      </w:pPr>
      <w:r>
        <w:rPr>
          <w:rFonts w:ascii="Arial" w:cs="Arial" w:eastAsia="Arial" w:hAnsi="Arial"/>
          <w:sz w:val="18"/>
          <w:szCs w:val="18"/>
          <w:color w:val="auto"/>
        </w:rPr>
        <w:t>Capital expenditures for free cash flow purposes were $41 million for Q3 2026. Cash flow provided by operations was $419 million, compared to $284 million in the prior year period. Free cash flow (cash flow provided by operations less capital expenditures) was</w:t>
      </w:r>
    </w:p>
    <w:p>
      <w:pPr>
        <w:spacing w:after="0" w:line="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$378 million for the quarter, compared to $253 million in the prior year period. Depreciation and amortization expense was $71 million for Q3 2026. At the close of the quarter, the company held $1.34 billion in cash, cash equivalents and short-term investments.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will begin at 1:30 pm Pacific Time (4:30 pm Eastern Time) on Thursday, October 29, 2026. Interested parties may</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 xml:space="preserve">access the live webcast via the Investor Info section of Illumina’s website or directly through the following link - </w:t>
      </w:r>
      <w:r>
        <w:rPr>
          <w:rFonts w:ascii="Arial" w:cs="Arial" w:eastAsia="Arial" w:hAnsi="Arial"/>
          <w:sz w:val="17"/>
          <w:szCs w:val="17"/>
          <w:color w:val="0000FF"/>
        </w:rPr>
        <w:t>https://illumina-earnings-call-q3-2026.open-exchange.net/</w:t>
      </w:r>
      <w:r>
        <w:rPr>
          <w:rFonts w:ascii="Arial" w:cs="Arial" w:eastAsia="Arial" w:hAnsi="Arial"/>
          <w:sz w:val="17"/>
          <w:szCs w:val="17"/>
          <w:color w:val="000000"/>
        </w:rPr>
        <w:t>. To ensure timely connection, please join at least ten minutes before the scheduled start of the call. A replay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will be posted on Illumina’s website after the event and will be available for at least 30 days following.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Statement regarding use of non-GAAP financial measures</w:t>
      </w:r>
    </w:p>
    <w:p>
      <w:pPr>
        <w:spacing w:after="0" w:line="6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reports non-GAAP results for diluted earnings per share, gross margin, operating margin, and free cash flow, among others, in addition to, and not as a substitute for, or superior to, financial measures calculated in accordance with GAAP. The company’s financial measures under GAAP include substantial charges such as amortization of acquired intangible assets, among others, that are listed in the reconciliations of GAAP and non-GAAP financial measures included in this press release. Management has excluded the effects of these items in non-GAAP measures to assist investors in analyzing and assessing past and future operating performance. Non-GAAP operating margin and diluted earnings per share are key components of the financial metrics utilized by the company’s board of directors to measure, in part, management’s performance and determine significant elements of management’s compensation. The company encourages investors to carefully consider its results under GAAP, as well as its supplemental non-GAAP information and the reconciliation between these presentations, to more fully understand its business. Reconciliations between GAAP and non-GAAP results are presented in this release.</w:t>
      </w:r>
    </w:p>
    <w:p>
      <w:pPr>
        <w:spacing w:after="0" w:line="20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provides forward-looking guidance on a non-GAAP basis. The company is unable to provide a reconciliation of forward-looking non-GAAP financial measures to the most directly comparable GAAP reported financial measures because it is unable to predict with reasonable certainty the impact of items such as acquisition-related costs, fair value adjustments to contingent consideration, gains and losses from strategic investments, asset impairments, restructuring activities, and the ultimate outcome of pending litigation, among others, without unreasonable effort. These items are uncertain, inherently difficult to predict, depend on various factors, and could have a material impact on GAAP reported results for the guidance period. For the same reasons, the company is unable to address the significance of the unavailable information, which could be material to future results.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890"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Use of forward-looking statements</w:t>
      </w:r>
    </w:p>
    <w:p>
      <w:pPr>
        <w:spacing w:after="0" w:line="6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release contains forward-looking statements that involve risks and uncertainties. Among the important factors to which our business is subject that could cause actual results to differ materially from those in any forward-looking statements are: (i) changes in the rate of growth in the markets we serve; (ii) the volume, timing and mix of customer orders among our products and services; (iii) our ability to adjust our operating expenses to align with our revenue expectations; (iv) uncertainty regarding the impact of our inclusion on the “unreliable entities list” by regulatory authorities in China; (v) uncertainty regarding tariffs imposed or threatened by the U.S. government and its trading partners, related court proceedings or administrative actions (including potential additional refund or relief programs), and other possible tariffs or trade protection measures and our efforts to mitigate the impact of such tariffs; (vi) our ability to manufacture robust instrumentation and consumables; (vii) the success of products and services competitive with our own; (viii) challenges inherent in developing, manufacturing, and launching new products and services, including expanding or modifying manufacturing operations and reliance on third-party suppliers for critical components; (ix) the impact of recently launched or pre-announced products and services on existing products and services; (x) our ability to modify our business strategies to accomplish our desired operational goals; (xi) our ability to realize the anticipated benefits from prior or future actions to streamline and improve our R&amp;D processes, reduce our operating expenses and maximize our revenue growth; (xii) our ability to further develop and commercialize our instruments, consumables, and products; (xiii) our ability to deploy new products, services, and applications, and to expand the markets for our technology platforms; (xiv) the risk of additional litigation or other liabilities arising against us in connection with previous acquisitions, including the GRAIL acquisition; (xv) our ability to obtain approval by third-party payors to reimburse patients for our products; (xvi) changes in the regulatory landscape and our ability to obtain regulatory clearance for our products from government agencies; (xvii) our ability to successfully partner with other companies and organizations to develop new products, expand markets, and grow our business; (xviii) uncertainty, or adverse economic and business conditions, including as a result of slowing or uncertain economic growth or armed conflict; (xix) the application of generally accepted accounting principles, which are highly complex and involve many subjective assumptions, estimates, and judgments; and (xx) legislative, regulatory and economic developments, together with other factors detailed in our filings with the Securities and Exchange Commission, including our most recent filings on Forms</w:t>
      </w:r>
    </w:p>
    <w:p>
      <w:pPr>
        <w:spacing w:after="0" w:line="8"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10-K and 10-Q, or in information disclosed in public conference calls, the date and time of which are released beforehand. We undertake no obligation, and do not intend, to update these forward-looking statements, to review or confirm analysts’ expectations, or to provide interim reports or updates on the progress of the current quarter.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Illumina</w:t>
      </w:r>
    </w:p>
    <w:p>
      <w:pPr>
        <w:spacing w:after="0" w:line="6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Illumina is improving human health by unlocking the power of the genome. Our focus on innovation has established us as a global leader in DNA sequencing and array-based technologies, serving customers in the research, clinical, and applied markets. Our products are used for applications in the life sciences, oncology, reproductive health, agriculture, and other emerging segments. To learn more, visit www.illumina.com and connect with us on X, Facebook, LinkedIn, Instagram, TikTok, and YouTube.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0"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Illumina,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September 27,</w:t>
            </w:r>
          </w:p>
        </w:tc>
        <w:tc>
          <w:tcPr>
            <w:tcW w:w="160" w:type="dxa"/>
            <w:vAlign w:val="bottom"/>
          </w:tcPr>
          <w:p>
            <w:pPr>
              <w:spacing w:after="0"/>
              <w:rPr>
                <w:sz w:val="14"/>
                <w:szCs w:val="14"/>
                <w:color w:val="auto"/>
              </w:rPr>
            </w:pPr>
          </w:p>
        </w:tc>
        <w:tc>
          <w:tcPr>
            <w:tcW w:w="1200" w:type="dxa"/>
            <w:vAlign w:val="bottom"/>
          </w:tcPr>
          <w:p>
            <w:pPr>
              <w:jc w:val="right"/>
              <w:ind w:right="132"/>
              <w:spacing w:after="0"/>
              <w:rPr>
                <w:sz w:val="20"/>
                <w:szCs w:val="20"/>
                <w:color w:val="auto"/>
              </w:rPr>
            </w:pPr>
            <w:r>
              <w:rPr>
                <w:rFonts w:ascii="Arial" w:cs="Arial" w:eastAsia="Arial" w:hAnsi="Arial"/>
                <w:sz w:val="14"/>
                <w:szCs w:val="14"/>
                <w:b w:val="1"/>
                <w:bCs w:val="1"/>
                <w:color w:val="auto"/>
              </w:rPr>
              <w:t>December 28,</w:t>
            </w:r>
          </w:p>
        </w:tc>
      </w:tr>
      <w:tr>
        <w:trPr>
          <w:trHeight w:val="189"/>
        </w:trPr>
        <w:tc>
          <w:tcPr>
            <w:tcW w:w="8400" w:type="dxa"/>
            <w:vAlign w:val="bottom"/>
            <w:tcBorders>
              <w:bottom w:val="single" w:sz="8" w:color="DDDDD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DDDDDD"/>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2025</w:t>
            </w:r>
          </w:p>
        </w:tc>
      </w:tr>
      <w:tr>
        <w:trPr>
          <w:trHeight w:val="223"/>
        </w:trPr>
        <w:tc>
          <w:tcPr>
            <w:tcW w:w="8400" w:type="dxa"/>
            <w:vAlign w:val="bottom"/>
            <w:shd w:val="clear" w:color="auto" w:fill="DDDDDD"/>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DDDDDD"/>
          </w:tcPr>
          <w:p>
            <w:pPr>
              <w:spacing w:after="0"/>
              <w:rPr>
                <w:sz w:val="19"/>
                <w:szCs w:val="19"/>
                <w:color w:val="auto"/>
              </w:rPr>
            </w:pPr>
          </w:p>
        </w:tc>
        <w:tc>
          <w:tcPr>
            <w:tcW w:w="1320" w:type="dxa"/>
            <w:vAlign w:val="bottom"/>
            <w:gridSpan w:val="2"/>
            <w:shd w:val="clear" w:color="auto" w:fill="DDDDDD"/>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160" w:type="dxa"/>
            <w:vAlign w:val="bottom"/>
            <w:shd w:val="clear" w:color="auto" w:fill="DDDDDD"/>
          </w:tcPr>
          <w:p>
            <w:pPr>
              <w:spacing w:after="0"/>
              <w:rPr>
                <w:sz w:val="19"/>
                <w:szCs w:val="19"/>
                <w:color w:val="auto"/>
              </w:rPr>
            </w:pPr>
          </w:p>
        </w:tc>
        <w:tc>
          <w:tcPr>
            <w:tcW w:w="1200" w:type="dxa"/>
            <w:vAlign w:val="bottom"/>
            <w:shd w:val="clear" w:color="auto" w:fill="DDDDDD"/>
          </w:tcPr>
          <w:p>
            <w:pPr>
              <w:spacing w:after="0"/>
              <w:rPr>
                <w:sz w:val="19"/>
                <w:szCs w:val="19"/>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3"/>
        </w:trPr>
        <w:tc>
          <w:tcPr>
            <w:tcW w:w="8400" w:type="dxa"/>
            <w:vAlign w:val="bottom"/>
            <w:shd w:val="clear" w:color="auto" w:fill="DDDDDD"/>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1,289</w:t>
            </w:r>
          </w:p>
        </w:tc>
        <w:tc>
          <w:tcPr>
            <w:tcW w:w="100" w:type="dxa"/>
            <w:vAlign w:val="bottom"/>
            <w:shd w:val="clear" w:color="auto" w:fill="DDDDDD"/>
          </w:tcPr>
          <w:p>
            <w:pPr>
              <w:spacing w:after="0"/>
              <w:rPr>
                <w:sz w:val="21"/>
                <w:szCs w:val="21"/>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1,418</w:t>
            </w:r>
          </w:p>
        </w:tc>
      </w:tr>
      <w:tr>
        <w:trPr>
          <w:trHeight w:val="243"/>
        </w:trPr>
        <w:tc>
          <w:tcPr>
            <w:tcW w:w="840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43"/>
        </w:trPr>
        <w:tc>
          <w:tcPr>
            <w:tcW w:w="8400" w:type="dxa"/>
            <w:vAlign w:val="bottom"/>
            <w:shd w:val="clear" w:color="auto" w:fill="DDDDDD"/>
          </w:tcPr>
          <w:p>
            <w:pPr>
              <w:ind w:left="2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DDDDDD"/>
          </w:tcPr>
          <w:p>
            <w:pPr>
              <w:spacing w:after="0"/>
              <w:rPr>
                <w:sz w:val="21"/>
                <w:szCs w:val="21"/>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738</w:t>
            </w:r>
          </w:p>
        </w:tc>
        <w:tc>
          <w:tcPr>
            <w:tcW w:w="10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854</w:t>
            </w:r>
          </w:p>
        </w:tc>
      </w:tr>
      <w:tr>
        <w:trPr>
          <w:trHeight w:val="243"/>
        </w:trPr>
        <w:tc>
          <w:tcPr>
            <w:tcW w:w="8400" w:type="dxa"/>
            <w:vAlign w:val="bottom"/>
          </w:tcPr>
          <w:p>
            <w:pPr>
              <w:ind w:left="220"/>
              <w:spacing w:after="0"/>
              <w:rPr>
                <w:sz w:val="20"/>
                <w:szCs w:val="20"/>
                <w:color w:val="auto"/>
              </w:rPr>
            </w:pPr>
            <w:r>
              <w:rPr>
                <w:rFonts w:ascii="Arial" w:cs="Arial" w:eastAsia="Arial" w:hAnsi="Arial"/>
                <w:sz w:val="18"/>
                <w:szCs w:val="18"/>
                <w:color w:val="auto"/>
              </w:rPr>
              <w:t>Inventory, net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243"/>
        </w:trPr>
        <w:tc>
          <w:tcPr>
            <w:tcW w:w="8400" w:type="dxa"/>
            <w:vAlign w:val="bottom"/>
            <w:shd w:val="clear" w:color="auto" w:fill="DDDDDD"/>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DDDDDD"/>
          </w:tcPr>
          <w:p>
            <w:pPr>
              <w:spacing w:after="0"/>
              <w:rPr>
                <w:sz w:val="21"/>
                <w:szCs w:val="21"/>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rPr>
              <w:t>293</w:t>
            </w:r>
          </w:p>
        </w:tc>
        <w:tc>
          <w:tcPr>
            <w:tcW w:w="100" w:type="dxa"/>
            <w:vAlign w:val="bottom"/>
            <w:shd w:val="clear" w:color="auto" w:fill="DDDDDD"/>
          </w:tcPr>
          <w:p>
            <w:pPr>
              <w:spacing w:after="0"/>
              <w:rPr>
                <w:sz w:val="21"/>
                <w:szCs w:val="21"/>
                <w:color w:val="auto"/>
              </w:rPr>
            </w:pPr>
          </w:p>
        </w:tc>
        <w:tc>
          <w:tcPr>
            <w:tcW w:w="160" w:type="dxa"/>
            <w:vAlign w:val="bottom"/>
            <w:tcBorders>
              <w:bottom w:val="single" w:sz="8" w:color="auto"/>
            </w:tcBorders>
            <w:shd w:val="clear" w:color="auto" w:fill="DDDDDD"/>
          </w:tcPr>
          <w:p>
            <w:pPr>
              <w:spacing w:after="0"/>
              <w:rPr>
                <w:sz w:val="21"/>
                <w:szCs w:val="21"/>
                <w:color w:val="auto"/>
              </w:rPr>
            </w:pP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238</w:t>
            </w:r>
          </w:p>
        </w:tc>
      </w:tr>
      <w:tr>
        <w:trPr>
          <w:trHeight w:val="236"/>
        </w:trPr>
        <w:tc>
          <w:tcPr>
            <w:tcW w:w="840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3,035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3,289</w:t>
            </w:r>
          </w:p>
        </w:tc>
      </w:tr>
      <w:tr>
        <w:trPr>
          <w:trHeight w:val="243"/>
        </w:trPr>
        <w:tc>
          <w:tcPr>
            <w:tcW w:w="8400" w:type="dxa"/>
            <w:vAlign w:val="bottom"/>
            <w:shd w:val="clear" w:color="auto" w:fill="DDDDDD"/>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DDDDDD"/>
          </w:tcPr>
          <w:p>
            <w:pPr>
              <w:spacing w:after="0"/>
              <w:rPr>
                <w:sz w:val="21"/>
                <w:szCs w:val="21"/>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731</w:t>
            </w:r>
          </w:p>
        </w:tc>
        <w:tc>
          <w:tcPr>
            <w:tcW w:w="10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759</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43"/>
        </w:trPr>
        <w:tc>
          <w:tcPr>
            <w:tcW w:w="8400" w:type="dxa"/>
            <w:vAlign w:val="bottom"/>
            <w:shd w:val="clear" w:color="auto" w:fill="DDDDDD"/>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DDDDDD"/>
          </w:tcPr>
          <w:p>
            <w:pPr>
              <w:spacing w:after="0"/>
              <w:rPr>
                <w:sz w:val="21"/>
                <w:szCs w:val="21"/>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1,284</w:t>
            </w:r>
          </w:p>
        </w:tc>
        <w:tc>
          <w:tcPr>
            <w:tcW w:w="10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1,113</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43"/>
        </w:trPr>
        <w:tc>
          <w:tcPr>
            <w:tcW w:w="8400" w:type="dxa"/>
            <w:vAlign w:val="bottom"/>
            <w:shd w:val="clear" w:color="auto" w:fill="DDDDDD"/>
          </w:tcPr>
          <w:p>
            <w:pPr>
              <w:ind w:left="20"/>
              <w:spacing w:after="0"/>
              <w:rPr>
                <w:sz w:val="20"/>
                <w:szCs w:val="20"/>
                <w:color w:val="auto"/>
              </w:rPr>
            </w:pPr>
            <w:r>
              <w:rPr>
                <w:rFonts w:ascii="Arial" w:cs="Arial" w:eastAsia="Arial" w:hAnsi="Arial"/>
                <w:sz w:val="18"/>
                <w:szCs w:val="18"/>
                <w:color w:val="auto"/>
              </w:rPr>
              <w:t>Deferred tax assets, net</w:t>
            </w:r>
          </w:p>
        </w:tc>
        <w:tc>
          <w:tcPr>
            <w:tcW w:w="140" w:type="dxa"/>
            <w:vAlign w:val="bottom"/>
            <w:shd w:val="clear" w:color="auto" w:fill="DDDDDD"/>
          </w:tcPr>
          <w:p>
            <w:pPr>
              <w:spacing w:after="0"/>
              <w:rPr>
                <w:sz w:val="21"/>
                <w:szCs w:val="21"/>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454</w:t>
            </w:r>
          </w:p>
        </w:tc>
        <w:tc>
          <w:tcPr>
            <w:tcW w:w="10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454</w:t>
            </w:r>
          </w:p>
        </w:tc>
      </w:tr>
      <w:tr>
        <w:trPr>
          <w:trHeight w:val="243"/>
        </w:trPr>
        <w:tc>
          <w:tcPr>
            <w:tcW w:w="840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w:t>
            </w:r>
          </w:p>
        </w:tc>
        <w:tc>
          <w:tcPr>
            <w:tcW w:w="100" w:type="dxa"/>
            <w:vAlign w:val="bottom"/>
            <w:tcBorders>
              <w:bottom w:val="single" w:sz="8" w:color="DDDDDD"/>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r>
      <w:tr>
        <w:trPr>
          <w:trHeight w:val="262"/>
        </w:trPr>
        <w:tc>
          <w:tcPr>
            <w:tcW w:w="8400" w:type="dxa"/>
            <w:vAlign w:val="bottom"/>
            <w:tcBorders>
              <w:bottom w:val="single" w:sz="8" w:color="DDDDDD"/>
            </w:tcBorders>
            <w:shd w:val="clear" w:color="auto" w:fill="DDDDDD"/>
          </w:tcPr>
          <w:p>
            <w:pPr>
              <w:ind w:left="6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rPr>
              <w:t>6,812</w:t>
            </w:r>
          </w:p>
        </w:tc>
        <w:tc>
          <w:tcPr>
            <w:tcW w:w="100" w:type="dxa"/>
            <w:vAlign w:val="bottom"/>
            <w:tcBorders>
              <w:bottom w:val="single" w:sz="8" w:color="DDDDDD"/>
            </w:tcBorders>
            <w:shd w:val="clear" w:color="auto" w:fill="DDDDDD"/>
          </w:tcPr>
          <w:p>
            <w:pPr>
              <w:spacing w:after="0"/>
              <w:rPr>
                <w:sz w:val="22"/>
                <w:szCs w:val="22"/>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6,644</w:t>
            </w:r>
          </w:p>
        </w:tc>
      </w:tr>
      <w:tr>
        <w:trPr>
          <w:trHeight w:val="20"/>
        </w:trPr>
        <w:tc>
          <w:tcPr>
            <w:tcW w:w="840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22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200" w:type="dxa"/>
            <w:vAlign w:val="bottom"/>
            <w:tcBorders>
              <w:top w:val="single" w:sz="8" w:color="DDDDDD"/>
              <w:bottom w:val="single" w:sz="8" w:color="auto"/>
            </w:tcBorders>
          </w:tcPr>
          <w:p>
            <w:pPr>
              <w:spacing w:after="0" w:line="20" w:lineRule="exact"/>
              <w:rPr>
                <w:sz w:val="1"/>
                <w:szCs w:val="1"/>
                <w:color w:val="auto"/>
              </w:rPr>
            </w:pPr>
          </w:p>
        </w:tc>
      </w:tr>
      <w:tr>
        <w:trPr>
          <w:trHeight w:val="217"/>
        </w:trPr>
        <w:tc>
          <w:tcPr>
            <w:tcW w:w="8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3"/>
        </w:trPr>
        <w:tc>
          <w:tcPr>
            <w:tcW w:w="8400" w:type="dxa"/>
            <w:vAlign w:val="bottom"/>
            <w:shd w:val="clear" w:color="auto" w:fill="DDDDDD"/>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DDDDDD"/>
          </w:tcPr>
          <w:p>
            <w:pPr>
              <w:spacing w:after="0"/>
              <w:rPr>
                <w:sz w:val="21"/>
                <w:szCs w:val="21"/>
                <w:color w:val="auto"/>
              </w:rPr>
            </w:pPr>
          </w:p>
        </w:tc>
        <w:tc>
          <w:tcPr>
            <w:tcW w:w="12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1200" w:type="dxa"/>
            <w:vAlign w:val="bottom"/>
            <w:shd w:val="clear" w:color="auto" w:fill="DDDDDD"/>
          </w:tcPr>
          <w:p>
            <w:pPr>
              <w:spacing w:after="0"/>
              <w:rPr>
                <w:sz w:val="21"/>
                <w:szCs w:val="2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3"/>
        </w:trPr>
        <w:tc>
          <w:tcPr>
            <w:tcW w:w="8400" w:type="dxa"/>
            <w:vAlign w:val="bottom"/>
            <w:shd w:val="clear" w:color="auto" w:fill="DDDDDD"/>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241</w:t>
            </w:r>
          </w:p>
        </w:tc>
        <w:tc>
          <w:tcPr>
            <w:tcW w:w="100" w:type="dxa"/>
            <w:vAlign w:val="bottom"/>
            <w:shd w:val="clear" w:color="auto" w:fill="DDDDDD"/>
          </w:tcPr>
          <w:p>
            <w:pPr>
              <w:spacing w:after="0"/>
              <w:rPr>
                <w:sz w:val="21"/>
                <w:szCs w:val="21"/>
                <w:color w:val="auto"/>
              </w:rPr>
            </w:pPr>
          </w:p>
        </w:tc>
        <w:tc>
          <w:tcPr>
            <w:tcW w:w="160" w:type="dxa"/>
            <w:vAlign w:val="bottom"/>
            <w:shd w:val="clear" w:color="auto" w:fill="DDDDDD"/>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240</w:t>
            </w:r>
          </w:p>
        </w:tc>
      </w:tr>
      <w:tr>
        <w:trPr>
          <w:trHeight w:val="243"/>
        </w:trPr>
        <w:tc>
          <w:tcPr>
            <w:tcW w:w="840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846</w:t>
            </w:r>
          </w:p>
        </w:tc>
      </w:tr>
      <w:tr>
        <w:trPr>
          <w:trHeight w:val="243"/>
        </w:trPr>
        <w:tc>
          <w:tcPr>
            <w:tcW w:w="8400" w:type="dxa"/>
            <w:vAlign w:val="bottom"/>
            <w:shd w:val="clear" w:color="auto" w:fill="DDDDDD"/>
          </w:tcPr>
          <w:p>
            <w:pPr>
              <w:ind w:left="220"/>
              <w:spacing w:after="0"/>
              <w:rPr>
                <w:sz w:val="20"/>
                <w:szCs w:val="20"/>
                <w:color w:val="auto"/>
              </w:rPr>
            </w:pPr>
            <w:r>
              <w:rPr>
                <w:rFonts w:ascii="Arial" w:cs="Arial" w:eastAsia="Arial" w:hAnsi="Arial"/>
                <w:sz w:val="18"/>
                <w:szCs w:val="18"/>
                <w:color w:val="auto"/>
              </w:rPr>
              <w:t>Term debt, current portion</w:t>
            </w:r>
          </w:p>
        </w:tc>
        <w:tc>
          <w:tcPr>
            <w:tcW w:w="140" w:type="dxa"/>
            <w:vAlign w:val="bottom"/>
            <w:shd w:val="clear" w:color="auto" w:fill="DDDDDD"/>
          </w:tcPr>
          <w:p>
            <w:pPr>
              <w:spacing w:after="0"/>
              <w:rPr>
                <w:sz w:val="21"/>
                <w:szCs w:val="21"/>
                <w:color w:val="auto"/>
              </w:rPr>
            </w:pPr>
          </w:p>
        </w:tc>
        <w:tc>
          <w:tcPr>
            <w:tcW w:w="1320" w:type="dxa"/>
            <w:vAlign w:val="bottom"/>
            <w:gridSpan w:val="2"/>
            <w:shd w:val="clear" w:color="auto" w:fill="DDDDDD"/>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DDDDD"/>
          </w:tcPr>
          <w:p>
            <w:pPr>
              <w:spacing w:after="0"/>
              <w:rPr>
                <w:sz w:val="21"/>
                <w:szCs w:val="21"/>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499</w:t>
            </w:r>
          </w:p>
        </w:tc>
      </w:tr>
      <w:tr>
        <w:trPr>
          <w:trHeight w:val="236"/>
        </w:trPr>
        <w:tc>
          <w:tcPr>
            <w:tcW w:w="840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1,585</w:t>
            </w:r>
          </w:p>
        </w:tc>
      </w:tr>
      <w:tr>
        <w:trPr>
          <w:trHeight w:val="243"/>
        </w:trPr>
        <w:tc>
          <w:tcPr>
            <w:tcW w:w="840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DDDDDD"/>
          </w:tcPr>
          <w:p>
            <w:pPr>
              <w:spacing w:after="0"/>
              <w:rPr>
                <w:sz w:val="21"/>
                <w:szCs w:val="21"/>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439</w:t>
            </w:r>
          </w:p>
        </w:tc>
        <w:tc>
          <w:tcPr>
            <w:tcW w:w="10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486</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Term debt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1,789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1,490</w:t>
            </w:r>
          </w:p>
        </w:tc>
      </w:tr>
      <w:tr>
        <w:trPr>
          <w:trHeight w:val="243"/>
        </w:trPr>
        <w:tc>
          <w:tcPr>
            <w:tcW w:w="8400" w:type="dxa"/>
            <w:vAlign w:val="bottom"/>
            <w:shd w:val="clear" w:color="auto" w:fill="DDDDDD"/>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DDDDDD"/>
          </w:tcPr>
          <w:p>
            <w:pPr>
              <w:spacing w:after="0"/>
              <w:rPr>
                <w:sz w:val="21"/>
                <w:szCs w:val="21"/>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283</w:t>
            </w:r>
          </w:p>
        </w:tc>
        <w:tc>
          <w:tcPr>
            <w:tcW w:w="10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360</w:t>
            </w:r>
          </w:p>
        </w:tc>
      </w:tr>
      <w:tr>
        <w:trPr>
          <w:trHeight w:val="243"/>
        </w:trPr>
        <w:tc>
          <w:tcPr>
            <w:tcW w:w="840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3,145</w:t>
            </w:r>
          </w:p>
        </w:tc>
        <w:tc>
          <w:tcPr>
            <w:tcW w:w="100" w:type="dxa"/>
            <w:vAlign w:val="bottom"/>
            <w:tcBorders>
              <w:bottom w:val="single" w:sz="8" w:color="DDDDDD"/>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w:t>
            </w:r>
          </w:p>
        </w:tc>
      </w:tr>
      <w:tr>
        <w:trPr>
          <w:trHeight w:val="262"/>
        </w:trPr>
        <w:tc>
          <w:tcPr>
            <w:tcW w:w="8400" w:type="dxa"/>
            <w:vAlign w:val="bottom"/>
            <w:tcBorders>
              <w:bottom w:val="single" w:sz="8" w:color="DDDDDD"/>
            </w:tcBorders>
            <w:shd w:val="clear" w:color="auto" w:fill="DDDDDD"/>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rPr>
              <w:t>6,812</w:t>
            </w:r>
          </w:p>
        </w:tc>
        <w:tc>
          <w:tcPr>
            <w:tcW w:w="100" w:type="dxa"/>
            <w:vAlign w:val="bottom"/>
            <w:tcBorders>
              <w:bottom w:val="single" w:sz="8" w:color="DDDDDD"/>
            </w:tcBorders>
            <w:shd w:val="clear" w:color="auto" w:fill="DDDDDD"/>
          </w:tcPr>
          <w:p>
            <w:pPr>
              <w:spacing w:after="0"/>
              <w:rPr>
                <w:sz w:val="22"/>
                <w:szCs w:val="22"/>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6,644</w:t>
            </w:r>
          </w:p>
        </w:tc>
      </w:tr>
      <w:tr>
        <w:trPr>
          <w:trHeight w:val="20"/>
        </w:trPr>
        <w:tc>
          <w:tcPr>
            <w:tcW w:w="840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22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200" w:type="dxa"/>
            <w:vAlign w:val="bottom"/>
            <w:tcBorders>
              <w:top w:val="single" w:sz="8" w:color="DDDDD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40" w:top="836"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Illumina,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6"/>
        </w:trPr>
        <w:tc>
          <w:tcPr>
            <w:tcW w:w="5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September 27,</w:t>
            </w:r>
          </w:p>
        </w:tc>
        <w:tc>
          <w:tcPr>
            <w:tcW w:w="140" w:type="dxa"/>
            <w:vAlign w:val="bottom"/>
          </w:tcPr>
          <w:p>
            <w:pPr>
              <w:spacing w:after="0"/>
              <w:rPr>
                <w:sz w:val="13"/>
                <w:szCs w:val="13"/>
                <w:color w:val="auto"/>
              </w:rPr>
            </w:pPr>
          </w:p>
        </w:tc>
        <w:tc>
          <w:tcPr>
            <w:tcW w:w="130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rPr>
              <w:t>September 28,</w:t>
            </w:r>
          </w:p>
        </w:tc>
        <w:tc>
          <w:tcPr>
            <w:tcW w:w="120" w:type="dxa"/>
            <w:vAlign w:val="bottom"/>
          </w:tcPr>
          <w:p>
            <w:pPr>
              <w:spacing w:after="0"/>
              <w:rPr>
                <w:sz w:val="13"/>
                <w:szCs w:val="13"/>
                <w:color w:val="auto"/>
              </w:rPr>
            </w:pPr>
          </w:p>
        </w:tc>
        <w:tc>
          <w:tcPr>
            <w:tcW w:w="126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September 27,</w:t>
            </w:r>
          </w:p>
        </w:tc>
        <w:tc>
          <w:tcPr>
            <w:tcW w:w="120" w:type="dxa"/>
            <w:vAlign w:val="bottom"/>
          </w:tcPr>
          <w:p>
            <w:pPr>
              <w:spacing w:after="0"/>
              <w:rPr>
                <w:sz w:val="13"/>
                <w:szCs w:val="13"/>
                <w:color w:val="auto"/>
              </w:rPr>
            </w:pPr>
          </w:p>
        </w:tc>
        <w:tc>
          <w:tcPr>
            <w:tcW w:w="1160" w:type="dxa"/>
            <w:vAlign w:val="bottom"/>
          </w:tcPr>
          <w:p>
            <w:pPr>
              <w:jc w:val="right"/>
              <w:ind w:right="72"/>
              <w:spacing w:after="0" w:line="157" w:lineRule="exact"/>
              <w:rPr>
                <w:sz w:val="20"/>
                <w:szCs w:val="20"/>
                <w:color w:val="auto"/>
              </w:rPr>
            </w:pPr>
            <w:r>
              <w:rPr>
                <w:rFonts w:ascii="Arial" w:cs="Arial" w:eastAsia="Arial" w:hAnsi="Arial"/>
                <w:sz w:val="14"/>
                <w:szCs w:val="14"/>
                <w:b w:val="1"/>
                <w:bCs w:val="1"/>
                <w:color w:val="auto"/>
              </w:rPr>
              <w:t>September 28,</w:t>
            </w:r>
          </w:p>
        </w:tc>
        <w:tc>
          <w:tcPr>
            <w:tcW w:w="0" w:type="dxa"/>
            <w:vAlign w:val="bottom"/>
          </w:tcPr>
          <w:p>
            <w:pPr>
              <w:spacing w:after="0"/>
              <w:rPr>
                <w:sz w:val="1"/>
                <w:szCs w:val="1"/>
                <w:color w:val="auto"/>
              </w:rPr>
            </w:pPr>
          </w:p>
        </w:tc>
      </w:tr>
      <w:tr>
        <w:trPr>
          <w:trHeight w:val="189"/>
        </w:trPr>
        <w:tc>
          <w:tcPr>
            <w:tcW w:w="5680" w:type="dxa"/>
            <w:vAlign w:val="bottom"/>
            <w:tcBorders>
              <w:bottom w:val="single" w:sz="8" w:color="DDDDD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DDDDD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DDDDD"/>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DDDDDD"/>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23"/>
        </w:trPr>
        <w:tc>
          <w:tcPr>
            <w:tcW w:w="568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DDDDDD"/>
          </w:tcPr>
          <w:p>
            <w:pPr>
              <w:spacing w:after="0"/>
              <w:rPr>
                <w:sz w:val="19"/>
                <w:szCs w:val="19"/>
                <w:color w:val="auto"/>
              </w:rPr>
            </w:pPr>
          </w:p>
        </w:tc>
        <w:tc>
          <w:tcPr>
            <w:tcW w:w="12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2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220"/>
              <w:spacing w:after="0"/>
              <w:rPr>
                <w:sz w:val="20"/>
                <w:szCs w:val="20"/>
                <w:color w:val="auto"/>
              </w:rPr>
            </w:pPr>
            <w:r>
              <w:rPr>
                <w:rFonts w:ascii="Arial" w:cs="Arial" w:eastAsia="Arial" w:hAnsi="Arial"/>
                <w:sz w:val="18"/>
                <w:szCs w:val="18"/>
                <w:color w:val="auto"/>
              </w:rPr>
              <w:t>Product revenue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2,845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43"/>
        </w:trPr>
        <w:tc>
          <w:tcPr>
            <w:tcW w:w="5680" w:type="dxa"/>
            <w:vAlign w:val="bottom"/>
            <w:shd w:val="clear" w:color="auto" w:fill="DDDDDD"/>
          </w:tcPr>
          <w:p>
            <w:pPr>
              <w:ind w:left="220"/>
              <w:spacing w:after="0"/>
              <w:rPr>
                <w:sz w:val="20"/>
                <w:szCs w:val="20"/>
                <w:color w:val="auto"/>
              </w:rPr>
            </w:pPr>
            <w:r>
              <w:rPr>
                <w:rFonts w:ascii="Arial" w:cs="Arial" w:eastAsia="Arial" w:hAnsi="Arial"/>
                <w:sz w:val="18"/>
                <w:szCs w:val="18"/>
                <w:color w:val="auto"/>
              </w:rPr>
              <w:t>Service and other revenue</w:t>
            </w:r>
          </w:p>
        </w:tc>
        <w:tc>
          <w:tcPr>
            <w:tcW w:w="140" w:type="dxa"/>
            <w:vAlign w:val="bottom"/>
            <w:tcBorders>
              <w:bottom w:val="single" w:sz="8" w:color="auto"/>
            </w:tcBorders>
            <w:shd w:val="clear" w:color="auto" w:fill="DDDDDD"/>
          </w:tcPr>
          <w:p>
            <w:pPr>
              <w:spacing w:after="0"/>
              <w:rPr>
                <w:sz w:val="21"/>
                <w:szCs w:val="21"/>
                <w:color w:val="auto"/>
              </w:rPr>
            </w:pP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rPr>
              <w:t>183</w:t>
            </w:r>
          </w:p>
        </w:tc>
        <w:tc>
          <w:tcPr>
            <w:tcW w:w="100" w:type="dxa"/>
            <w:vAlign w:val="bottom"/>
            <w:shd w:val="clear" w:color="auto" w:fill="DDDDDD"/>
          </w:tcPr>
          <w:p>
            <w:pPr>
              <w:spacing w:after="0"/>
              <w:rPr>
                <w:sz w:val="21"/>
                <w:szCs w:val="21"/>
                <w:color w:val="auto"/>
              </w:rPr>
            </w:pPr>
          </w:p>
        </w:tc>
        <w:tc>
          <w:tcPr>
            <w:tcW w:w="140" w:type="dxa"/>
            <w:vAlign w:val="bottom"/>
            <w:tcBorders>
              <w:bottom w:val="single" w:sz="8" w:color="auto"/>
            </w:tcBorders>
            <w:shd w:val="clear" w:color="auto" w:fill="DDDDDD"/>
          </w:tcPr>
          <w:p>
            <w:pPr>
              <w:spacing w:after="0"/>
              <w:rPr>
                <w:sz w:val="21"/>
                <w:szCs w:val="21"/>
                <w:color w:val="auto"/>
              </w:rPr>
            </w:pP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DDDDDD"/>
          </w:tcPr>
          <w:p>
            <w:pPr>
              <w:spacing w:after="0"/>
              <w:rPr>
                <w:sz w:val="21"/>
                <w:szCs w:val="21"/>
                <w:color w:val="auto"/>
              </w:rPr>
            </w:pPr>
          </w:p>
        </w:tc>
        <w:tc>
          <w:tcPr>
            <w:tcW w:w="120" w:type="dxa"/>
            <w:vAlign w:val="bottom"/>
            <w:tcBorders>
              <w:bottom w:val="single" w:sz="8" w:color="auto"/>
            </w:tcBorders>
            <w:shd w:val="clear" w:color="auto" w:fill="DDDDDD"/>
          </w:tcPr>
          <w:p>
            <w:pPr>
              <w:spacing w:after="0"/>
              <w:rPr>
                <w:sz w:val="21"/>
                <w:szCs w:val="21"/>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rPr>
              <w:t>535</w:t>
            </w:r>
          </w:p>
        </w:tc>
        <w:tc>
          <w:tcPr>
            <w:tcW w:w="100" w:type="dxa"/>
            <w:vAlign w:val="bottom"/>
            <w:shd w:val="clear" w:color="auto" w:fill="DDDDDD"/>
          </w:tcPr>
          <w:p>
            <w:pPr>
              <w:spacing w:after="0"/>
              <w:rPr>
                <w:sz w:val="21"/>
                <w:szCs w:val="21"/>
                <w:color w:val="auto"/>
              </w:rPr>
            </w:pPr>
          </w:p>
        </w:tc>
        <w:tc>
          <w:tcPr>
            <w:tcW w:w="120" w:type="dxa"/>
            <w:vAlign w:val="bottom"/>
            <w:tcBorders>
              <w:bottom w:val="single" w:sz="8" w:color="auto"/>
            </w:tcBorders>
            <w:shd w:val="clear" w:color="auto" w:fill="DDDDDD"/>
          </w:tcPr>
          <w:p>
            <w:pPr>
              <w:spacing w:after="0"/>
              <w:rPr>
                <w:sz w:val="21"/>
                <w:szCs w:val="21"/>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36"/>
        </w:trPr>
        <w:tc>
          <w:tcPr>
            <w:tcW w:w="5680" w:type="dxa"/>
            <w:vAlign w:val="bottom"/>
            <w:tcBorders>
              <w:bottom w:val="single" w:sz="8" w:color="DDDDDD"/>
            </w:tcBorders>
          </w:tcPr>
          <w:p>
            <w:pPr>
              <w:ind w:left="44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1,129</w:t>
            </w:r>
          </w:p>
        </w:tc>
        <w:tc>
          <w:tcPr>
            <w:tcW w:w="100" w:type="dxa"/>
            <w:vAlign w:val="bottom"/>
            <w:tcBorders>
              <w:bottom w:val="single" w:sz="8" w:color="DDDDDD"/>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DDDDDD"/>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3,380</w:t>
            </w:r>
          </w:p>
        </w:tc>
        <w:tc>
          <w:tcPr>
            <w:tcW w:w="100" w:type="dxa"/>
            <w:vAlign w:val="bottom"/>
            <w:tcBorders>
              <w:bottom w:val="single" w:sz="8" w:color="DDDDDD"/>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23"/>
        </w:trPr>
        <w:tc>
          <w:tcPr>
            <w:tcW w:w="5680" w:type="dxa"/>
            <w:vAlign w:val="bottom"/>
            <w:shd w:val="clear" w:color="auto" w:fill="DDDDDD"/>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DDDDDD"/>
          </w:tcPr>
          <w:p>
            <w:pPr>
              <w:spacing w:after="0"/>
              <w:rPr>
                <w:sz w:val="19"/>
                <w:szCs w:val="19"/>
                <w:color w:val="auto"/>
              </w:rPr>
            </w:pPr>
          </w:p>
        </w:tc>
        <w:tc>
          <w:tcPr>
            <w:tcW w:w="12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2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220"/>
              <w:spacing w:after="0"/>
              <w:rPr>
                <w:sz w:val="20"/>
                <w:szCs w:val="20"/>
                <w:color w:val="auto"/>
              </w:rPr>
            </w:pPr>
            <w:r>
              <w:rPr>
                <w:rFonts w:ascii="Arial" w:cs="Arial" w:eastAsia="Arial" w:hAnsi="Arial"/>
                <w:sz w:val="18"/>
                <w:szCs w:val="18"/>
                <w:color w:val="auto"/>
              </w:rPr>
              <w:t>Cost of product revenue</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43"/>
        </w:trPr>
        <w:tc>
          <w:tcPr>
            <w:tcW w:w="5680" w:type="dxa"/>
            <w:vAlign w:val="bottom"/>
            <w:shd w:val="clear" w:color="auto" w:fill="DDDDDD"/>
          </w:tcPr>
          <w:p>
            <w:pPr>
              <w:ind w:left="220"/>
              <w:spacing w:after="0"/>
              <w:rPr>
                <w:sz w:val="20"/>
                <w:szCs w:val="20"/>
                <w:color w:val="auto"/>
              </w:rPr>
            </w:pPr>
            <w:r>
              <w:rPr>
                <w:rFonts w:ascii="Arial" w:cs="Arial" w:eastAsia="Arial" w:hAnsi="Arial"/>
                <w:sz w:val="18"/>
                <w:szCs w:val="18"/>
                <w:color w:val="auto"/>
              </w:rPr>
              <w:t>Cost of service and other revenue</w:t>
            </w:r>
          </w:p>
        </w:tc>
        <w:tc>
          <w:tcPr>
            <w:tcW w:w="140" w:type="dxa"/>
            <w:vAlign w:val="bottom"/>
            <w:shd w:val="clear" w:color="auto" w:fill="DDDDDD"/>
          </w:tcPr>
          <w:p>
            <w:pPr>
              <w:spacing w:after="0"/>
              <w:rPr>
                <w:sz w:val="21"/>
                <w:szCs w:val="21"/>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82</w:t>
            </w:r>
          </w:p>
        </w:tc>
        <w:tc>
          <w:tcPr>
            <w:tcW w:w="10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243</w:t>
            </w:r>
          </w:p>
        </w:tc>
        <w:tc>
          <w:tcPr>
            <w:tcW w:w="10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5680" w:type="dxa"/>
            <w:vAlign w:val="bottom"/>
            <w:tcBorders>
              <w:bottom w:val="single" w:sz="8" w:color="DDDDDD"/>
            </w:tcBorders>
          </w:tcPr>
          <w:p>
            <w:pPr>
              <w:ind w:left="220"/>
              <w:spacing w:after="0"/>
              <w:rPr>
                <w:sz w:val="20"/>
                <w:szCs w:val="20"/>
                <w:color w:val="auto"/>
              </w:rPr>
            </w:pPr>
            <w:r>
              <w:rPr>
                <w:rFonts w:ascii="Arial" w:cs="Arial" w:eastAsia="Arial" w:hAnsi="Arial"/>
                <w:sz w:val="18"/>
                <w:szCs w:val="18"/>
                <w:color w:val="auto"/>
              </w:rPr>
              <w:t>Amortization of acquired intangible assets</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DDDDDD"/>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DDDDDD"/>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DDDDDD"/>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5680" w:type="dxa"/>
            <w:vAlign w:val="bottom"/>
            <w:shd w:val="clear" w:color="auto" w:fill="DDDDDD"/>
          </w:tcPr>
          <w:p>
            <w:pPr>
              <w:ind w:left="440"/>
              <w:spacing w:after="0"/>
              <w:rPr>
                <w:sz w:val="20"/>
                <w:szCs w:val="20"/>
                <w:color w:val="auto"/>
              </w:rPr>
            </w:pPr>
            <w:r>
              <w:rPr>
                <w:rFonts w:ascii="Arial" w:cs="Arial" w:eastAsia="Arial" w:hAnsi="Arial"/>
                <w:sz w:val="18"/>
                <w:szCs w:val="18"/>
                <w:color w:val="auto"/>
              </w:rPr>
              <w:t>Total cost of revenue</w:t>
            </w:r>
          </w:p>
        </w:tc>
        <w:tc>
          <w:tcPr>
            <w:tcW w:w="140" w:type="dxa"/>
            <w:vAlign w:val="bottom"/>
            <w:tcBorders>
              <w:bottom w:val="single" w:sz="8" w:color="auto"/>
            </w:tcBorders>
            <w:shd w:val="clear" w:color="auto" w:fill="DDDDDD"/>
          </w:tcPr>
          <w:p>
            <w:pPr>
              <w:spacing w:after="0"/>
              <w:rPr>
                <w:sz w:val="20"/>
                <w:szCs w:val="20"/>
                <w:color w:val="auto"/>
              </w:rPr>
            </w:pP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rPr>
              <w:t>299</w:t>
            </w:r>
          </w:p>
        </w:tc>
        <w:tc>
          <w:tcPr>
            <w:tcW w:w="100" w:type="dxa"/>
            <w:vAlign w:val="bottom"/>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spacing w:after="0"/>
              <w:rPr>
                <w:sz w:val="20"/>
                <w:szCs w:val="20"/>
                <w:color w:val="auto"/>
              </w:rPr>
            </w:pP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DDDDDD"/>
          </w:tcPr>
          <w:p>
            <w:pPr>
              <w:spacing w:after="0"/>
              <w:rPr>
                <w:sz w:val="20"/>
                <w:szCs w:val="20"/>
                <w:color w:val="auto"/>
              </w:rPr>
            </w:pPr>
          </w:p>
        </w:tc>
        <w:tc>
          <w:tcPr>
            <w:tcW w:w="120" w:type="dxa"/>
            <w:vAlign w:val="bottom"/>
            <w:tcBorders>
              <w:bottom w:val="single" w:sz="8" w:color="auto"/>
            </w:tcBorders>
            <w:shd w:val="clear" w:color="auto" w:fill="DDDDDD"/>
          </w:tcPr>
          <w:p>
            <w:pPr>
              <w:spacing w:after="0"/>
              <w:rPr>
                <w:sz w:val="20"/>
                <w:szCs w:val="20"/>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rPr>
              <w:t>1,059</w:t>
            </w:r>
          </w:p>
        </w:tc>
        <w:tc>
          <w:tcPr>
            <w:tcW w:w="100" w:type="dxa"/>
            <w:vAlign w:val="bottom"/>
            <w:shd w:val="clear" w:color="auto" w:fill="DDDDDD"/>
          </w:tcPr>
          <w:p>
            <w:pPr>
              <w:spacing w:after="0"/>
              <w:rPr>
                <w:sz w:val="20"/>
                <w:szCs w:val="20"/>
                <w:color w:val="auto"/>
              </w:rPr>
            </w:pPr>
          </w:p>
        </w:tc>
        <w:tc>
          <w:tcPr>
            <w:tcW w:w="120" w:type="dxa"/>
            <w:vAlign w:val="bottom"/>
            <w:tcBorders>
              <w:bottom w:val="single" w:sz="8" w:color="auto"/>
            </w:tcBorders>
            <w:shd w:val="clear" w:color="auto" w:fill="DDDDDD"/>
          </w:tcPr>
          <w:p>
            <w:pPr>
              <w:spacing w:after="0"/>
              <w:rPr>
                <w:sz w:val="20"/>
                <w:szCs w:val="20"/>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36"/>
        </w:trPr>
        <w:tc>
          <w:tcPr>
            <w:tcW w:w="5680" w:type="dxa"/>
            <w:vAlign w:val="bottom"/>
            <w:tcBorders>
              <w:bottom w:val="single" w:sz="8" w:color="DDDDDD"/>
            </w:tcBorders>
          </w:tcPr>
          <w:p>
            <w:pPr>
              <w:ind w:left="66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w:t>
            </w:r>
          </w:p>
        </w:tc>
        <w:tc>
          <w:tcPr>
            <w:tcW w:w="100" w:type="dxa"/>
            <w:vAlign w:val="bottom"/>
            <w:tcBorders>
              <w:bottom w:val="single" w:sz="8" w:color="DDDDDD"/>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DDDDDD"/>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2,321</w:t>
            </w:r>
          </w:p>
        </w:tc>
        <w:tc>
          <w:tcPr>
            <w:tcW w:w="100" w:type="dxa"/>
            <w:vAlign w:val="bottom"/>
            <w:tcBorders>
              <w:bottom w:val="single" w:sz="8" w:color="DDDDDD"/>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23"/>
        </w:trPr>
        <w:tc>
          <w:tcPr>
            <w:tcW w:w="568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expense:</w:t>
            </w:r>
          </w:p>
        </w:tc>
        <w:tc>
          <w:tcPr>
            <w:tcW w:w="140" w:type="dxa"/>
            <w:vAlign w:val="bottom"/>
            <w:shd w:val="clear" w:color="auto" w:fill="DDDDDD"/>
          </w:tcPr>
          <w:p>
            <w:pPr>
              <w:spacing w:after="0"/>
              <w:rPr>
                <w:sz w:val="19"/>
                <w:szCs w:val="19"/>
                <w:color w:val="auto"/>
              </w:rPr>
            </w:pPr>
          </w:p>
        </w:tc>
        <w:tc>
          <w:tcPr>
            <w:tcW w:w="12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2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43"/>
        </w:trPr>
        <w:tc>
          <w:tcPr>
            <w:tcW w:w="5680" w:type="dxa"/>
            <w:vAlign w:val="bottom"/>
            <w:shd w:val="clear" w:color="auto" w:fill="DDDDDD"/>
          </w:tcPr>
          <w:p>
            <w:pPr>
              <w:ind w:left="2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shd w:val="clear" w:color="auto" w:fill="DDDDDD"/>
          </w:tcPr>
          <w:p>
            <w:pPr>
              <w:spacing w:after="0"/>
              <w:rPr>
                <w:sz w:val="21"/>
                <w:szCs w:val="21"/>
                <w:color w:val="auto"/>
              </w:rPr>
            </w:pP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rPr>
              <w:t>281</w:t>
            </w:r>
          </w:p>
        </w:tc>
        <w:tc>
          <w:tcPr>
            <w:tcW w:w="100" w:type="dxa"/>
            <w:vAlign w:val="bottom"/>
            <w:shd w:val="clear" w:color="auto" w:fill="DDDDDD"/>
          </w:tcPr>
          <w:p>
            <w:pPr>
              <w:spacing w:after="0"/>
              <w:rPr>
                <w:sz w:val="21"/>
                <w:szCs w:val="21"/>
                <w:color w:val="auto"/>
              </w:rPr>
            </w:pPr>
          </w:p>
        </w:tc>
        <w:tc>
          <w:tcPr>
            <w:tcW w:w="140" w:type="dxa"/>
            <w:vAlign w:val="bottom"/>
            <w:tcBorders>
              <w:bottom w:val="single" w:sz="8" w:color="auto"/>
            </w:tcBorders>
            <w:shd w:val="clear" w:color="auto" w:fill="DDDDDD"/>
          </w:tcPr>
          <w:p>
            <w:pPr>
              <w:spacing w:after="0"/>
              <w:rPr>
                <w:sz w:val="21"/>
                <w:szCs w:val="21"/>
                <w:color w:val="auto"/>
              </w:rPr>
            </w:pP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DDDDDD"/>
          </w:tcPr>
          <w:p>
            <w:pPr>
              <w:spacing w:after="0"/>
              <w:rPr>
                <w:sz w:val="21"/>
                <w:szCs w:val="21"/>
                <w:color w:val="auto"/>
              </w:rPr>
            </w:pPr>
          </w:p>
        </w:tc>
        <w:tc>
          <w:tcPr>
            <w:tcW w:w="120" w:type="dxa"/>
            <w:vAlign w:val="bottom"/>
            <w:tcBorders>
              <w:bottom w:val="single" w:sz="8" w:color="auto"/>
            </w:tcBorders>
            <w:shd w:val="clear" w:color="auto" w:fill="DDDDDD"/>
          </w:tcPr>
          <w:p>
            <w:pPr>
              <w:spacing w:after="0"/>
              <w:rPr>
                <w:sz w:val="21"/>
                <w:szCs w:val="21"/>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rPr>
              <w:t>826</w:t>
            </w:r>
          </w:p>
        </w:tc>
        <w:tc>
          <w:tcPr>
            <w:tcW w:w="100" w:type="dxa"/>
            <w:vAlign w:val="bottom"/>
            <w:shd w:val="clear" w:color="auto" w:fill="DDDDDD"/>
          </w:tcPr>
          <w:p>
            <w:pPr>
              <w:spacing w:after="0"/>
              <w:rPr>
                <w:sz w:val="21"/>
                <w:szCs w:val="21"/>
                <w:color w:val="auto"/>
              </w:rPr>
            </w:pPr>
          </w:p>
        </w:tc>
        <w:tc>
          <w:tcPr>
            <w:tcW w:w="120" w:type="dxa"/>
            <w:vAlign w:val="bottom"/>
            <w:tcBorders>
              <w:bottom w:val="single" w:sz="8" w:color="auto"/>
            </w:tcBorders>
            <w:shd w:val="clear" w:color="auto" w:fill="DDDDDD"/>
          </w:tcPr>
          <w:p>
            <w:pPr>
              <w:spacing w:after="0"/>
              <w:rPr>
                <w:sz w:val="21"/>
                <w:szCs w:val="21"/>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DDDDDD"/>
            </w:tcBorders>
          </w:tcPr>
          <w:p>
            <w:pPr>
              <w:ind w:left="440"/>
              <w:spacing w:after="0"/>
              <w:rPr>
                <w:sz w:val="20"/>
                <w:szCs w:val="20"/>
                <w:color w:val="auto"/>
              </w:rPr>
            </w:pPr>
            <w:r>
              <w:rPr>
                <w:rFonts w:ascii="Arial" w:cs="Arial" w:eastAsia="Arial" w:hAnsi="Arial"/>
                <w:sz w:val="18"/>
                <w:szCs w:val="18"/>
                <w:color w:val="auto"/>
              </w:rPr>
              <w:t>Total operating expense</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w:t>
            </w:r>
          </w:p>
        </w:tc>
        <w:tc>
          <w:tcPr>
            <w:tcW w:w="100" w:type="dxa"/>
            <w:vAlign w:val="bottom"/>
            <w:tcBorders>
              <w:bottom w:val="single" w:sz="8" w:color="DDDDDD"/>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DDDDDD"/>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1,562</w:t>
            </w:r>
          </w:p>
        </w:tc>
        <w:tc>
          <w:tcPr>
            <w:tcW w:w="100" w:type="dxa"/>
            <w:vAlign w:val="bottom"/>
            <w:tcBorders>
              <w:bottom w:val="single" w:sz="8" w:color="DDDDDD"/>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37"/>
        </w:trPr>
        <w:tc>
          <w:tcPr>
            <w:tcW w:w="5680" w:type="dxa"/>
            <w:vAlign w:val="bottom"/>
            <w:shd w:val="clear" w:color="auto" w:fill="DDDDDD"/>
          </w:tcPr>
          <w:p>
            <w:pPr>
              <w:ind w:left="20"/>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DDDDDD"/>
          </w:tcPr>
          <w:p>
            <w:pPr>
              <w:spacing w:after="0"/>
              <w:rPr>
                <w:sz w:val="20"/>
                <w:szCs w:val="20"/>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305</w:t>
            </w: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759</w:t>
            </w: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43"/>
        </w:trPr>
        <w:tc>
          <w:tcPr>
            <w:tcW w:w="5680" w:type="dxa"/>
            <w:vAlign w:val="bottom"/>
            <w:tcBorders>
              <w:bottom w:val="single" w:sz="8" w:color="DDDDDD"/>
            </w:tcBorders>
          </w:tcPr>
          <w:p>
            <w:pPr>
              <w:ind w:left="220"/>
              <w:spacing w:after="0"/>
              <w:rPr>
                <w:sz w:val="20"/>
                <w:szCs w:val="20"/>
                <w:color w:val="auto"/>
              </w:rPr>
            </w:pPr>
            <w:r>
              <w:rPr>
                <w:rFonts w:ascii="Arial" w:cs="Arial" w:eastAsia="Arial" w:hAnsi="Arial"/>
                <w:sz w:val="18"/>
                <w:szCs w:val="18"/>
                <w:color w:val="auto"/>
              </w:rPr>
              <w:t>Other (expense) income, net</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bottom w:val="single" w:sz="8" w:color="DDDDDD"/>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DDDDDD"/>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bottom w:val="single" w:sz="8" w:color="DDDDDD"/>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7"/>
        </w:trPr>
        <w:tc>
          <w:tcPr>
            <w:tcW w:w="5680" w:type="dxa"/>
            <w:vAlign w:val="bottom"/>
            <w:shd w:val="clear" w:color="auto" w:fill="DDDDDD"/>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DDDDDD"/>
          </w:tcPr>
          <w:p>
            <w:pPr>
              <w:spacing w:after="0"/>
              <w:rPr>
                <w:sz w:val="20"/>
                <w:szCs w:val="20"/>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264</w:t>
            </w: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681</w:t>
            </w: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43"/>
        </w:trPr>
        <w:tc>
          <w:tcPr>
            <w:tcW w:w="5680" w:type="dxa"/>
            <w:vAlign w:val="bottom"/>
            <w:tcBorders>
              <w:bottom w:val="single" w:sz="8" w:color="DDDDDD"/>
            </w:tcBorders>
          </w:tcPr>
          <w:p>
            <w:pPr>
              <w:ind w:left="22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Borders>
              <w:bottom w:val="single" w:sz="8" w:color="DDDDDD"/>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DDDDDD"/>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w:t>
            </w:r>
          </w:p>
        </w:tc>
        <w:tc>
          <w:tcPr>
            <w:tcW w:w="100" w:type="dxa"/>
            <w:vAlign w:val="bottom"/>
            <w:tcBorders>
              <w:bottom w:val="single" w:sz="8" w:color="DDDDDD"/>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62"/>
        </w:trPr>
        <w:tc>
          <w:tcPr>
            <w:tcW w:w="56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rPr>
              <w:t>220</w:t>
            </w:r>
          </w:p>
        </w:tc>
        <w:tc>
          <w:tcPr>
            <w:tcW w:w="100" w:type="dxa"/>
            <w:vAlign w:val="bottom"/>
            <w:tcBorders>
              <w:bottom w:val="single" w:sz="8" w:color="DDDDDD"/>
            </w:tcBorders>
            <w:shd w:val="clear" w:color="auto" w:fill="DDDDDD"/>
          </w:tcPr>
          <w:p>
            <w:pPr>
              <w:spacing w:after="0"/>
              <w:rPr>
                <w:sz w:val="22"/>
                <w:szCs w:val="22"/>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DDDDDD"/>
            </w:tcBorders>
            <w:shd w:val="clear" w:color="auto" w:fill="DDDDDD"/>
          </w:tcPr>
          <w:p>
            <w:pPr>
              <w:spacing w:after="0"/>
              <w:rPr>
                <w:sz w:val="22"/>
                <w:szCs w:val="22"/>
                <w:color w:val="auto"/>
              </w:rPr>
            </w:pPr>
          </w:p>
        </w:tc>
        <w:tc>
          <w:tcPr>
            <w:tcW w:w="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rPr>
              <w:t>561</w:t>
            </w:r>
          </w:p>
        </w:tc>
        <w:tc>
          <w:tcPr>
            <w:tcW w:w="100" w:type="dxa"/>
            <w:vAlign w:val="bottom"/>
            <w:tcBorders>
              <w:bottom w:val="single" w:sz="8" w:color="DDDDDD"/>
            </w:tcBorders>
            <w:shd w:val="clear" w:color="auto" w:fill="DDDDDD"/>
          </w:tcPr>
          <w:p>
            <w:pPr>
              <w:spacing w:after="0"/>
              <w:rPr>
                <w:sz w:val="22"/>
                <w:szCs w:val="22"/>
                <w:color w:val="auto"/>
              </w:rPr>
            </w:pPr>
          </w:p>
        </w:tc>
        <w:tc>
          <w:tcPr>
            <w:tcW w:w="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
        </w:trPr>
        <w:tc>
          <w:tcPr>
            <w:tcW w:w="5680" w:type="dxa"/>
            <w:vAlign w:val="bottom"/>
            <w:tcBorders>
              <w:top w:val="single" w:sz="8" w:color="DDDDDD"/>
              <w:bottom w:val="single" w:sz="8" w:color="DDDDDD"/>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20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20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DDDDDD"/>
              <w:bottom w:val="single" w:sz="8" w:color="auto"/>
            </w:tcBorders>
          </w:tcPr>
          <w:p>
            <w:pPr>
              <w:spacing w:after="0" w:line="20" w:lineRule="exact"/>
              <w:rPr>
                <w:sz w:val="1"/>
                <w:szCs w:val="1"/>
                <w:color w:val="auto"/>
              </w:rPr>
            </w:pPr>
          </w:p>
        </w:tc>
        <w:tc>
          <w:tcPr>
            <w:tcW w:w="116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DDDDDD"/>
              <w:bottom w:val="single" w:sz="8" w:color="auto"/>
            </w:tcBorders>
          </w:tcPr>
          <w:p>
            <w:pPr>
              <w:spacing w:after="0" w:line="20" w:lineRule="exact"/>
              <w:rPr>
                <w:sz w:val="1"/>
                <w:szCs w:val="1"/>
                <w:color w:val="auto"/>
              </w:rPr>
            </w:pPr>
          </w:p>
        </w:tc>
        <w:tc>
          <w:tcPr>
            <w:tcW w:w="11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680" w:type="dxa"/>
            <w:vAlign w:val="bottom"/>
            <w:shd w:val="clear" w:color="auto" w:fill="DDDDDD"/>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1.46</w:t>
            </w:r>
          </w:p>
        </w:tc>
        <w:tc>
          <w:tcPr>
            <w:tcW w:w="100" w:type="dxa"/>
            <w:vAlign w:val="bottom"/>
            <w:shd w:val="clear" w:color="auto" w:fill="DDDDDD"/>
          </w:tcPr>
          <w:p>
            <w:pPr>
              <w:spacing w:after="0"/>
              <w:rPr>
                <w:sz w:val="21"/>
                <w:szCs w:val="21"/>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DDDDDD"/>
          </w:tcPr>
          <w:p>
            <w:pPr>
              <w:spacing w:after="0"/>
              <w:rPr>
                <w:sz w:val="21"/>
                <w:szCs w:val="21"/>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3.70</w:t>
            </w:r>
          </w:p>
        </w:tc>
        <w:tc>
          <w:tcPr>
            <w:tcW w:w="100" w:type="dxa"/>
            <w:vAlign w:val="bottom"/>
            <w:shd w:val="clear" w:color="auto" w:fill="DDDDDD"/>
          </w:tcPr>
          <w:p>
            <w:pPr>
              <w:spacing w:after="0"/>
              <w:rPr>
                <w:sz w:val="21"/>
                <w:szCs w:val="21"/>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43"/>
        </w:trPr>
        <w:tc>
          <w:tcPr>
            <w:tcW w:w="568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3.65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3"/>
        </w:trPr>
        <w:tc>
          <w:tcPr>
            <w:tcW w:w="5680" w:type="dxa"/>
            <w:vAlign w:val="bottom"/>
            <w:shd w:val="clear" w:color="auto" w:fill="DDDDDD"/>
          </w:tcPr>
          <w:p>
            <w:pPr>
              <w:ind w:left="20"/>
              <w:spacing w:after="0"/>
              <w:rPr>
                <w:sz w:val="20"/>
                <w:szCs w:val="20"/>
                <w:color w:val="auto"/>
              </w:rPr>
            </w:pPr>
            <w:r>
              <w:rPr>
                <w:rFonts w:ascii="Arial" w:cs="Arial" w:eastAsia="Arial" w:hAnsi="Arial"/>
                <w:sz w:val="18"/>
                <w:szCs w:val="18"/>
                <w:color w:val="auto"/>
              </w:rPr>
              <w:t>Shares used in computing earnings per share:</w:t>
            </w:r>
          </w:p>
        </w:tc>
        <w:tc>
          <w:tcPr>
            <w:tcW w:w="140" w:type="dxa"/>
            <w:vAlign w:val="bottom"/>
            <w:shd w:val="clear" w:color="auto" w:fill="DDDDDD"/>
          </w:tcPr>
          <w:p>
            <w:pPr>
              <w:spacing w:after="0"/>
              <w:rPr>
                <w:sz w:val="21"/>
                <w:szCs w:val="21"/>
                <w:color w:val="auto"/>
              </w:rPr>
            </w:pPr>
          </w:p>
        </w:tc>
        <w:tc>
          <w:tcPr>
            <w:tcW w:w="120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120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16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16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5680" w:type="dxa"/>
            <w:vAlign w:val="bottom"/>
            <w:shd w:val="clear" w:color="auto" w:fill="DDDDDD"/>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DDDDDD"/>
          </w:tcPr>
          <w:p>
            <w:pPr>
              <w:spacing w:after="0"/>
              <w:rPr>
                <w:sz w:val="21"/>
                <w:szCs w:val="21"/>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1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40" w:top="836" w:right="339" w:bottom="1440" w:gutter="0" w:footer="0" w:header="0"/>
        </w:sectPr>
      </w:pPr>
    </w:p>
    <w:bookmarkStart w:id="11" w:name="page12"/>
    <w:bookmarkEnd w:id="11"/>
    <w:p>
      <w:pPr>
        <w:jc w:val="center"/>
        <w:ind w:right="-31"/>
        <w:spacing w:after="0"/>
        <w:rPr>
          <w:sz w:val="20"/>
          <w:szCs w:val="20"/>
          <w:color w:val="auto"/>
        </w:rPr>
      </w:pPr>
      <w:r>
        <w:rPr>
          <w:rFonts w:ascii="Arial" w:cs="Arial" w:eastAsia="Arial" w:hAnsi="Arial"/>
          <w:sz w:val="18"/>
          <w:szCs w:val="18"/>
          <w:b w:val="1"/>
          <w:bCs w:val="1"/>
          <w:color w:val="auto"/>
        </w:rPr>
        <w:t>Illumina, Inc.</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52" w:type="dxa"/>
        <w:tblCellMar>
          <w:top w:w="0" w:type="dxa"/>
          <w:left w:w="0" w:type="dxa"/>
          <w:bottom w:w="0" w:type="dxa"/>
          <w:right w:w="0" w:type="dxa"/>
        </w:tblCellMar>
      </w:tblPr>
      <w:tr>
        <w:trPr>
          <w:trHeight w:val="197"/>
        </w:trPr>
        <w:tc>
          <w:tcPr>
            <w:tcW w:w="57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Nine Months Ended</w:t>
            </w:r>
          </w:p>
        </w:tc>
      </w:tr>
      <w:tr>
        <w:trPr>
          <w:trHeight w:val="157"/>
        </w:trPr>
        <w:tc>
          <w:tcPr>
            <w:tcW w:w="5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September 27,</w:t>
            </w:r>
          </w:p>
        </w:tc>
        <w:tc>
          <w:tcPr>
            <w:tcW w:w="120" w:type="dxa"/>
            <w:vAlign w:val="bottom"/>
          </w:tcPr>
          <w:p>
            <w:pPr>
              <w:spacing w:after="0"/>
              <w:rPr>
                <w:sz w:val="13"/>
                <w:szCs w:val="13"/>
                <w:color w:val="auto"/>
              </w:rPr>
            </w:pPr>
          </w:p>
        </w:tc>
        <w:tc>
          <w:tcPr>
            <w:tcW w:w="122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September 28,</w:t>
            </w:r>
          </w:p>
        </w:tc>
        <w:tc>
          <w:tcPr>
            <w:tcW w:w="120" w:type="dxa"/>
            <w:vAlign w:val="bottom"/>
          </w:tcPr>
          <w:p>
            <w:pPr>
              <w:spacing w:after="0"/>
              <w:rPr>
                <w:sz w:val="13"/>
                <w:szCs w:val="13"/>
                <w:color w:val="auto"/>
              </w:rPr>
            </w:pPr>
          </w:p>
        </w:tc>
        <w:tc>
          <w:tcPr>
            <w:tcW w:w="124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September 27,</w:t>
            </w:r>
          </w:p>
        </w:tc>
        <w:tc>
          <w:tcPr>
            <w:tcW w:w="120" w:type="dxa"/>
            <w:vAlign w:val="bottom"/>
          </w:tcPr>
          <w:p>
            <w:pPr>
              <w:spacing w:after="0"/>
              <w:rPr>
                <w:sz w:val="13"/>
                <w:szCs w:val="13"/>
                <w:color w:val="auto"/>
              </w:rPr>
            </w:pPr>
          </w:p>
        </w:tc>
        <w:tc>
          <w:tcPr>
            <w:tcW w:w="1140" w:type="dxa"/>
            <w:vAlign w:val="bottom"/>
          </w:tcPr>
          <w:p>
            <w:pPr>
              <w:jc w:val="right"/>
              <w:ind w:right="53"/>
              <w:spacing w:after="0" w:line="157" w:lineRule="exact"/>
              <w:rPr>
                <w:sz w:val="20"/>
                <w:szCs w:val="20"/>
                <w:color w:val="auto"/>
              </w:rPr>
            </w:pPr>
            <w:r>
              <w:rPr>
                <w:rFonts w:ascii="Arial" w:cs="Arial" w:eastAsia="Arial" w:hAnsi="Arial"/>
                <w:sz w:val="14"/>
                <w:szCs w:val="14"/>
                <w:b w:val="1"/>
                <w:bCs w:val="1"/>
                <w:color w:val="auto"/>
              </w:rPr>
              <w:t>September 28,</w:t>
            </w:r>
          </w:p>
        </w:tc>
      </w:tr>
      <w:tr>
        <w:trPr>
          <w:trHeight w:val="189"/>
        </w:trPr>
        <w:tc>
          <w:tcPr>
            <w:tcW w:w="5760" w:type="dxa"/>
            <w:vAlign w:val="bottom"/>
            <w:tcBorders>
              <w:bottom w:val="single" w:sz="8" w:color="DDDDD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DDDDDD"/>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DDDDDD"/>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DDDDDD"/>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2025</w:t>
            </w:r>
          </w:p>
        </w:tc>
      </w:tr>
      <w:tr>
        <w:trPr>
          <w:trHeight w:val="237"/>
        </w:trPr>
        <w:tc>
          <w:tcPr>
            <w:tcW w:w="576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419</w:t>
            </w: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284</w:t>
            </w:r>
          </w:p>
        </w:tc>
        <w:tc>
          <w:tcPr>
            <w:tcW w:w="80" w:type="dxa"/>
            <w:vAlign w:val="bottom"/>
            <w:shd w:val="clear" w:color="auto" w:fill="DDDDDD"/>
          </w:tcPr>
          <w:p>
            <w:pPr>
              <w:spacing w:after="0"/>
              <w:rPr>
                <w:sz w:val="20"/>
                <w:szCs w:val="20"/>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909</w:t>
            </w: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758</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43"/>
        </w:trPr>
        <w:tc>
          <w:tcPr>
            <w:tcW w:w="576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shd w:val="clear" w:color="auto" w:fill="DDDDDD"/>
          </w:tcPr>
          <w:p>
            <w:pPr>
              <w:spacing w:after="0"/>
              <w:rPr>
                <w:sz w:val="21"/>
                <w:szCs w:val="21"/>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(223)</w:t>
            </w:r>
          </w:p>
        </w:tc>
        <w:tc>
          <w:tcPr>
            <w:tcW w:w="10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(602)</w:t>
            </w:r>
          </w:p>
        </w:tc>
        <w:tc>
          <w:tcPr>
            <w:tcW w:w="10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(681)</w:t>
            </w:r>
          </w:p>
        </w:tc>
      </w:tr>
      <w:tr>
        <w:trPr>
          <w:trHeight w:val="243"/>
        </w:trPr>
        <w:tc>
          <w:tcPr>
            <w:tcW w:w="576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DDDDDD"/>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DDDDDD"/>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DDDDDD"/>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576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shd w:val="clear" w:color="auto" w:fill="DDDDDD"/>
          </w:tcPr>
          <w:p>
            <w:pPr>
              <w:spacing w:after="0"/>
              <w:rPr>
                <w:sz w:val="20"/>
                <w:szCs w:val="20"/>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249</w:t>
            </w: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(129)</w:t>
            </w: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576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1,040</w:t>
            </w:r>
          </w:p>
        </w:tc>
        <w:tc>
          <w:tcPr>
            <w:tcW w:w="100" w:type="dxa"/>
            <w:vAlign w:val="bottom"/>
            <w:tcBorders>
              <w:bottom w:val="single" w:sz="8" w:color="DDDDDD"/>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80" w:type="dxa"/>
            <w:vAlign w:val="bottom"/>
            <w:tcBorders>
              <w:bottom w:val="single" w:sz="8" w:color="DDDDDD"/>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1,418</w:t>
            </w:r>
          </w:p>
        </w:tc>
        <w:tc>
          <w:tcPr>
            <w:tcW w:w="100" w:type="dxa"/>
            <w:vAlign w:val="bottom"/>
            <w:tcBorders>
              <w:bottom w:val="single" w:sz="8" w:color="DDDDDD"/>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r>
      <w:tr>
        <w:trPr>
          <w:trHeight w:val="261"/>
        </w:trPr>
        <w:tc>
          <w:tcPr>
            <w:tcW w:w="576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rPr>
              <w:t>1,289</w:t>
            </w:r>
          </w:p>
        </w:tc>
        <w:tc>
          <w:tcPr>
            <w:tcW w:w="100" w:type="dxa"/>
            <w:vAlign w:val="bottom"/>
            <w:tcBorders>
              <w:bottom w:val="single" w:sz="8" w:color="DDDDDD"/>
            </w:tcBorders>
            <w:shd w:val="clear" w:color="auto" w:fill="DDDDDD"/>
          </w:tcPr>
          <w:p>
            <w:pPr>
              <w:spacing w:after="0"/>
              <w:rPr>
                <w:sz w:val="22"/>
                <w:szCs w:val="22"/>
                <w:color w:val="auto"/>
              </w:rPr>
            </w:pPr>
          </w:p>
        </w:tc>
        <w:tc>
          <w:tcPr>
            <w:tcW w:w="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1,050</w:t>
            </w:r>
          </w:p>
        </w:tc>
        <w:tc>
          <w:tcPr>
            <w:tcW w:w="80" w:type="dxa"/>
            <w:vAlign w:val="bottom"/>
            <w:tcBorders>
              <w:bottom w:val="single" w:sz="8" w:color="DDDDDD"/>
            </w:tcBorders>
            <w:shd w:val="clear" w:color="auto" w:fill="DDDDDD"/>
          </w:tcPr>
          <w:p>
            <w:pPr>
              <w:spacing w:after="0"/>
              <w:rPr>
                <w:sz w:val="22"/>
                <w:szCs w:val="22"/>
                <w:color w:val="auto"/>
              </w:rPr>
            </w:pPr>
          </w:p>
        </w:tc>
        <w:tc>
          <w:tcPr>
            <w:tcW w:w="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rPr>
              <w:t>1,289</w:t>
            </w:r>
          </w:p>
        </w:tc>
        <w:tc>
          <w:tcPr>
            <w:tcW w:w="100" w:type="dxa"/>
            <w:vAlign w:val="bottom"/>
            <w:tcBorders>
              <w:bottom w:val="single" w:sz="8" w:color="DDDDDD"/>
            </w:tcBorders>
            <w:shd w:val="clear" w:color="auto" w:fill="DDDDDD"/>
          </w:tcPr>
          <w:p>
            <w:pPr>
              <w:spacing w:after="0"/>
              <w:rPr>
                <w:sz w:val="22"/>
                <w:szCs w:val="22"/>
                <w:color w:val="auto"/>
              </w:rPr>
            </w:pPr>
          </w:p>
        </w:tc>
        <w:tc>
          <w:tcPr>
            <w:tcW w:w="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1,050</w:t>
            </w:r>
          </w:p>
        </w:tc>
      </w:tr>
      <w:tr>
        <w:trPr>
          <w:trHeight w:val="20"/>
        </w:trPr>
        <w:tc>
          <w:tcPr>
            <w:tcW w:w="576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18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DDDDDD"/>
              <w:bottom w:val="single" w:sz="8" w:color="auto"/>
            </w:tcBorders>
          </w:tcPr>
          <w:p>
            <w:pPr>
              <w:spacing w:after="0" w:line="20" w:lineRule="exact"/>
              <w:rPr>
                <w:sz w:val="1"/>
                <w:szCs w:val="1"/>
                <w:color w:val="auto"/>
              </w:rPr>
            </w:pPr>
          </w:p>
        </w:tc>
        <w:tc>
          <w:tcPr>
            <w:tcW w:w="114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DDDDDD"/>
              <w:bottom w:val="single" w:sz="8" w:color="auto"/>
            </w:tcBorders>
          </w:tcPr>
          <w:p>
            <w:pPr>
              <w:spacing w:after="0" w:line="20" w:lineRule="exact"/>
              <w:rPr>
                <w:sz w:val="1"/>
                <w:szCs w:val="1"/>
                <w:color w:val="auto"/>
              </w:rPr>
            </w:pPr>
          </w:p>
        </w:tc>
        <w:tc>
          <w:tcPr>
            <w:tcW w:w="11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DDDDDD"/>
              <w:bottom w:val="single" w:sz="8" w:color="auto"/>
            </w:tcBorders>
          </w:tcPr>
          <w:p>
            <w:pPr>
              <w:spacing w:after="0" w:line="20" w:lineRule="exact"/>
              <w:rPr>
                <w:sz w:val="1"/>
                <w:szCs w:val="1"/>
                <w:color w:val="auto"/>
              </w:rPr>
            </w:pPr>
          </w:p>
        </w:tc>
        <w:tc>
          <w:tcPr>
            <w:tcW w:w="1140" w:type="dxa"/>
            <w:vAlign w:val="bottom"/>
            <w:tcBorders>
              <w:top w:val="single" w:sz="8" w:color="DDDDDD"/>
              <w:bottom w:val="single" w:sz="8" w:color="auto"/>
            </w:tcBorders>
          </w:tcPr>
          <w:p>
            <w:pPr>
              <w:spacing w:after="0" w:line="20" w:lineRule="exact"/>
              <w:rPr>
                <w:sz w:val="1"/>
                <w:szCs w:val="1"/>
                <w:color w:val="auto"/>
              </w:rPr>
            </w:pPr>
          </w:p>
        </w:tc>
      </w:tr>
      <w:tr>
        <w:trPr>
          <w:trHeight w:val="217"/>
        </w:trPr>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5760" w:type="dxa"/>
            <w:vAlign w:val="bottom"/>
            <w:shd w:val="clear" w:color="auto" w:fill="DDDDDD"/>
          </w:tcPr>
          <w:p>
            <w:pPr>
              <w:ind w:left="20"/>
              <w:spacing w:after="0"/>
              <w:rPr>
                <w:sz w:val="20"/>
                <w:szCs w:val="20"/>
                <w:color w:val="auto"/>
              </w:rPr>
            </w:pPr>
            <w:r>
              <w:rPr>
                <w:rFonts w:ascii="Arial" w:cs="Arial" w:eastAsia="Arial" w:hAnsi="Arial"/>
                <w:sz w:val="18"/>
                <w:szCs w:val="18"/>
                <w:color w:val="auto"/>
              </w:rPr>
              <w:t>Calculation of free cash flow:</w:t>
            </w:r>
          </w:p>
        </w:tc>
        <w:tc>
          <w:tcPr>
            <w:tcW w:w="140" w:type="dxa"/>
            <w:vAlign w:val="bottom"/>
            <w:shd w:val="clear" w:color="auto" w:fill="DDDDDD"/>
          </w:tcPr>
          <w:p>
            <w:pPr>
              <w:spacing w:after="0"/>
              <w:rPr>
                <w:sz w:val="21"/>
                <w:szCs w:val="21"/>
                <w:color w:val="auto"/>
              </w:rPr>
            </w:pPr>
          </w:p>
        </w:tc>
        <w:tc>
          <w:tcPr>
            <w:tcW w:w="118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14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14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140" w:type="dxa"/>
            <w:vAlign w:val="bottom"/>
            <w:shd w:val="clear" w:color="auto" w:fill="DDDDDD"/>
          </w:tcPr>
          <w:p>
            <w:pPr>
              <w:spacing w:after="0"/>
              <w:rPr>
                <w:sz w:val="21"/>
                <w:szCs w:val="21"/>
                <w:color w:val="auto"/>
              </w:rPr>
            </w:pP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419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909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758</w:t>
            </w:r>
          </w:p>
        </w:tc>
      </w:tr>
      <w:tr>
        <w:trPr>
          <w:trHeight w:val="243"/>
        </w:trPr>
        <w:tc>
          <w:tcPr>
            <w:tcW w:w="5760" w:type="dxa"/>
            <w:vAlign w:val="bottom"/>
            <w:shd w:val="clear" w:color="auto" w:fill="DDDDDD"/>
          </w:tcPr>
          <w:p>
            <w:pPr>
              <w:ind w:left="2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Borders>
              <w:bottom w:val="single" w:sz="8" w:color="auto"/>
            </w:tcBorders>
            <w:shd w:val="clear" w:color="auto" w:fill="DDDDDD"/>
          </w:tcPr>
          <w:p>
            <w:pPr>
              <w:spacing w:after="0"/>
              <w:rPr>
                <w:sz w:val="21"/>
                <w:szCs w:val="21"/>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DDDDDD"/>
          </w:tcPr>
          <w:p>
            <w:pPr>
              <w:spacing w:after="0"/>
              <w:rPr>
                <w:sz w:val="21"/>
                <w:szCs w:val="21"/>
                <w:color w:val="auto"/>
              </w:rPr>
            </w:pPr>
          </w:p>
        </w:tc>
        <w:tc>
          <w:tcPr>
            <w:tcW w:w="120" w:type="dxa"/>
            <w:vAlign w:val="bottom"/>
            <w:tcBorders>
              <w:bottom w:val="single" w:sz="8" w:color="auto"/>
            </w:tcBorders>
            <w:shd w:val="clear" w:color="auto" w:fill="DDDDDD"/>
          </w:tcPr>
          <w:p>
            <w:pPr>
              <w:spacing w:after="0"/>
              <w:rPr>
                <w:sz w:val="21"/>
                <w:szCs w:val="21"/>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DDDDDD"/>
          </w:tcPr>
          <w:p>
            <w:pPr>
              <w:spacing w:after="0"/>
              <w:rPr>
                <w:sz w:val="21"/>
                <w:szCs w:val="21"/>
                <w:color w:val="auto"/>
              </w:rPr>
            </w:pPr>
          </w:p>
        </w:tc>
        <w:tc>
          <w:tcPr>
            <w:tcW w:w="120" w:type="dxa"/>
            <w:vAlign w:val="bottom"/>
            <w:tcBorders>
              <w:bottom w:val="single" w:sz="8" w:color="auto"/>
            </w:tcBorders>
            <w:shd w:val="clear" w:color="auto" w:fill="DDDDDD"/>
          </w:tcPr>
          <w:p>
            <w:pPr>
              <w:spacing w:after="0"/>
              <w:rPr>
                <w:sz w:val="21"/>
                <w:szCs w:val="21"/>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rPr>
              <w:t>(118)</w:t>
            </w:r>
          </w:p>
        </w:tc>
        <w:tc>
          <w:tcPr>
            <w:tcW w:w="100" w:type="dxa"/>
            <w:vAlign w:val="bottom"/>
            <w:shd w:val="clear" w:color="auto" w:fill="DDDDDD"/>
          </w:tcPr>
          <w:p>
            <w:pPr>
              <w:spacing w:after="0"/>
              <w:rPr>
                <w:sz w:val="21"/>
                <w:szCs w:val="21"/>
                <w:color w:val="auto"/>
              </w:rPr>
            </w:pPr>
          </w:p>
        </w:tc>
        <w:tc>
          <w:tcPr>
            <w:tcW w:w="120" w:type="dxa"/>
            <w:vAlign w:val="bottom"/>
            <w:tcBorders>
              <w:bottom w:val="single" w:sz="8" w:color="auto"/>
            </w:tcBorders>
            <w:shd w:val="clear" w:color="auto" w:fill="DDDDDD"/>
          </w:tcPr>
          <w:p>
            <w:pPr>
              <w:spacing w:after="0"/>
              <w:rPr>
                <w:sz w:val="21"/>
                <w:szCs w:val="21"/>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(93)</w:t>
            </w:r>
          </w:p>
        </w:tc>
      </w:tr>
      <w:tr>
        <w:trPr>
          <w:trHeight w:val="236"/>
        </w:trPr>
        <w:tc>
          <w:tcPr>
            <w:tcW w:w="5760" w:type="dxa"/>
            <w:vAlign w:val="bottom"/>
          </w:tcPr>
          <w:p>
            <w:pPr>
              <w:ind w:left="20"/>
              <w:spacing w:after="0"/>
              <w:rPr>
                <w:sz w:val="20"/>
                <w:szCs w:val="20"/>
                <w:color w:val="auto"/>
              </w:rPr>
            </w:pPr>
            <w:r>
              <w:rPr>
                <w:rFonts w:ascii="Arial" w:cs="Arial" w:eastAsia="Arial" w:hAnsi="Arial"/>
                <w:sz w:val="18"/>
                <w:szCs w:val="18"/>
                <w:color w:val="auto"/>
              </w:rPr>
              <w:t>Free cash flow (a)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791</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r>
      <w:tr>
        <w:trPr>
          <w:trHeight w:val="21"/>
        </w:trPr>
        <w:tc>
          <w:tcPr>
            <w:tcW w:w="5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332" w:right="60" w:hanging="332"/>
        <w:spacing w:after="0" w:line="262" w:lineRule="auto"/>
        <w:tabs>
          <w:tab w:leader="none" w:pos="322" w:val="left"/>
        </w:tabs>
        <w:numPr>
          <w:ilvl w:val="0"/>
          <w:numId w:val="6"/>
        </w:numPr>
        <w:rPr>
          <w:rFonts w:ascii="Arial" w:cs="Arial" w:eastAsia="Arial" w:hAnsi="Arial"/>
          <w:sz w:val="18"/>
          <w:szCs w:val="18"/>
          <w:color w:val="auto"/>
        </w:rPr>
      </w:pPr>
      <w:r>
        <w:rPr>
          <w:rFonts w:ascii="Arial" w:cs="Arial" w:eastAsia="Arial" w:hAnsi="Arial"/>
          <w:sz w:val="18"/>
          <w:szCs w:val="18"/>
          <w:color w:val="auto"/>
        </w:rPr>
        <w:t>Free cash flow, which is a non-GAAP financial measure, is calculated as net cash provided by operating activities reduced by purchases of property and equipment. Free cash flow is useful to management as it is one of the metrics used to evaluate our performance and to compare us with other companies in our industry. However, our calculation of free cash flow may not be comparable to similar measures used by other companies.</w:t>
      </w:r>
    </w:p>
    <w:p>
      <w:pPr>
        <w:spacing w:after="0" w:line="200" w:lineRule="exact"/>
        <w:rPr>
          <w:sz w:val="20"/>
          <w:szCs w:val="20"/>
          <w:color w:val="auto"/>
        </w:rPr>
      </w:pPr>
    </w:p>
    <w:p>
      <w:pPr>
        <w:spacing w:after="0" w:line="26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92"/>
          </w:cols>
          <w:pgMar w:left="328" w:top="836" w:right="37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Illumina,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 Non-GAAP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1: RECONCILIATION OF REVENUE GROWTH:</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5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September 27,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153"/>
              <w:spacing w:after="0"/>
              <w:rPr>
                <w:sz w:val="20"/>
                <w:szCs w:val="20"/>
                <w:color w:val="auto"/>
              </w:rPr>
            </w:pPr>
            <w:r>
              <w:rPr>
                <w:rFonts w:ascii="Arial" w:cs="Arial" w:eastAsia="Arial" w:hAnsi="Arial"/>
                <w:sz w:val="14"/>
                <w:szCs w:val="14"/>
                <w:b w:val="1"/>
                <w:bCs w:val="1"/>
                <w:color w:val="auto"/>
              </w:rPr>
              <w:t>September 27,</w:t>
            </w:r>
          </w:p>
        </w:tc>
      </w:tr>
      <w:tr>
        <w:trPr>
          <w:trHeight w:val="185"/>
        </w:trPr>
        <w:tc>
          <w:tcPr>
            <w:tcW w:w="5440" w:type="dxa"/>
            <w:vAlign w:val="bottom"/>
            <w:tcBorders>
              <w:bottom w:val="single" w:sz="8" w:color="DBDBDB"/>
            </w:tcBorders>
          </w:tcPr>
          <w:p>
            <w:pPr>
              <w:spacing w:after="0"/>
              <w:rPr>
                <w:sz w:val="16"/>
                <w:szCs w:val="16"/>
                <w:color w:val="auto"/>
              </w:rPr>
            </w:pPr>
          </w:p>
        </w:tc>
        <w:tc>
          <w:tcPr>
            <w:tcW w:w="160" w:type="dxa"/>
            <w:vAlign w:val="bottom"/>
            <w:tcBorders>
              <w:bottom w:val="single" w:sz="8" w:color="DBDBDB"/>
            </w:tcBorders>
          </w:tcPr>
          <w:p>
            <w:pPr>
              <w:spacing w:after="0"/>
              <w:rPr>
                <w:sz w:val="16"/>
                <w:szCs w:val="16"/>
                <w:color w:val="auto"/>
              </w:rPr>
            </w:pPr>
          </w:p>
        </w:tc>
        <w:tc>
          <w:tcPr>
            <w:tcW w:w="1220" w:type="dxa"/>
            <w:vAlign w:val="bottom"/>
            <w:tcBorders>
              <w:bottom w:val="single" w:sz="8" w:color="DBDBDB"/>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160" w:type="dxa"/>
            <w:vAlign w:val="bottom"/>
            <w:tcBorders>
              <w:bottom w:val="single" w:sz="8" w:color="DBDBDB"/>
            </w:tcBorders>
          </w:tcPr>
          <w:p>
            <w:pPr>
              <w:spacing w:after="0"/>
              <w:rPr>
                <w:sz w:val="16"/>
                <w:szCs w:val="16"/>
                <w:color w:val="auto"/>
              </w:rPr>
            </w:pPr>
          </w:p>
        </w:tc>
        <w:tc>
          <w:tcPr>
            <w:tcW w:w="102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7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DBDBDB"/>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2026</w:t>
            </w:r>
          </w:p>
        </w:tc>
      </w:tr>
      <w:tr>
        <w:trPr>
          <w:trHeight w:val="236"/>
        </w:trPr>
        <w:tc>
          <w:tcPr>
            <w:tcW w:w="54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 growth</w:t>
            </w:r>
          </w:p>
        </w:tc>
        <w:tc>
          <w:tcPr>
            <w:tcW w:w="160" w:type="dxa"/>
            <w:vAlign w:val="bottom"/>
            <w:shd w:val="clear" w:color="auto" w:fill="DBDBDB"/>
          </w:tcPr>
          <w:p>
            <w:pPr>
              <w:spacing w:after="0"/>
              <w:rPr>
                <w:sz w:val="20"/>
                <w:szCs w:val="20"/>
                <w:color w:val="auto"/>
              </w:rPr>
            </w:pPr>
          </w:p>
        </w:tc>
        <w:tc>
          <w:tcPr>
            <w:tcW w:w="12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4.2 %</w:t>
            </w:r>
          </w:p>
        </w:tc>
        <w:tc>
          <w:tcPr>
            <w:tcW w:w="10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260" w:type="dxa"/>
            <w:vAlign w:val="bottom"/>
            <w:shd w:val="clear" w:color="auto" w:fill="DBDBDB"/>
          </w:tcPr>
          <w:p>
            <w:pPr>
              <w:jc w:val="center"/>
              <w:ind w:left="673"/>
              <w:spacing w:after="0"/>
              <w:rPr>
                <w:sz w:val="20"/>
                <w:szCs w:val="20"/>
                <w:color w:val="auto"/>
              </w:rPr>
            </w:pPr>
            <w:r>
              <w:rPr>
                <w:rFonts w:ascii="Arial" w:cs="Arial" w:eastAsia="Arial" w:hAnsi="Arial"/>
                <w:sz w:val="18"/>
                <w:szCs w:val="18"/>
                <w:b w:val="1"/>
                <w:bCs w:val="1"/>
                <w:color w:val="auto"/>
                <w:w w:val="99"/>
              </w:rPr>
              <w:t>6.2 %</w:t>
            </w:r>
          </w:p>
        </w:tc>
      </w:tr>
      <w:tr>
        <w:trPr>
          <w:trHeight w:val="243"/>
        </w:trPr>
        <w:tc>
          <w:tcPr>
            <w:tcW w:w="544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Impact of tariff refunds</w:t>
            </w:r>
          </w:p>
        </w:tc>
        <w:tc>
          <w:tcPr>
            <w:tcW w:w="160" w:type="dxa"/>
            <w:vAlign w:val="bottom"/>
            <w:tcBorders>
              <w:bottom w:val="single" w:sz="8" w:color="DBDBDB"/>
            </w:tcBorders>
          </w:tcPr>
          <w:p>
            <w:pPr>
              <w:spacing w:after="0"/>
              <w:rPr>
                <w:sz w:val="21"/>
                <w:szCs w:val="21"/>
                <w:color w:val="auto"/>
              </w:rPr>
            </w:pPr>
          </w:p>
        </w:tc>
        <w:tc>
          <w:tcPr>
            <w:tcW w:w="1220" w:type="dxa"/>
            <w:vAlign w:val="bottom"/>
            <w:tcBorders>
              <w:bottom w:val="single" w:sz="8" w:color="DBDBDB"/>
            </w:tcBorders>
          </w:tcPr>
          <w:p>
            <w:pPr>
              <w:spacing w:after="0"/>
              <w:rPr>
                <w:sz w:val="21"/>
                <w:szCs w:val="21"/>
                <w:color w:val="auto"/>
              </w:rPr>
            </w:pPr>
          </w:p>
        </w:tc>
        <w:tc>
          <w:tcPr>
            <w:tcW w:w="80" w:type="dxa"/>
            <w:vAlign w:val="bottom"/>
            <w:tcBorders>
              <w:bottom w:val="single" w:sz="8" w:color="DBDBDB"/>
            </w:tcBorders>
          </w:tcPr>
          <w:p>
            <w:pPr>
              <w:spacing w:after="0"/>
              <w:rPr>
                <w:sz w:val="21"/>
                <w:szCs w:val="21"/>
                <w:color w:val="auto"/>
              </w:rPr>
            </w:pPr>
          </w:p>
        </w:tc>
        <w:tc>
          <w:tcPr>
            <w:tcW w:w="160" w:type="dxa"/>
            <w:vAlign w:val="bottom"/>
            <w:tcBorders>
              <w:bottom w:val="single" w:sz="8" w:color="DBDBDB"/>
            </w:tcBorders>
          </w:tcPr>
          <w:p>
            <w:pPr>
              <w:spacing w:after="0"/>
              <w:rPr>
                <w:sz w:val="21"/>
                <w:szCs w:val="21"/>
                <w:color w:val="auto"/>
              </w:rPr>
            </w:pPr>
          </w:p>
        </w:tc>
        <w:tc>
          <w:tcPr>
            <w:tcW w:w="1020" w:type="dxa"/>
            <w:vAlign w:val="bottom"/>
            <w:tcBorders>
              <w:bottom w:val="single" w:sz="8" w:color="DBDBDB"/>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Borders>
              <w:bottom w:val="single" w:sz="8" w:color="DBDBDB"/>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left="673"/>
              <w:spacing w:after="0"/>
              <w:rPr>
                <w:sz w:val="20"/>
                <w:szCs w:val="20"/>
                <w:color w:val="auto"/>
              </w:rPr>
            </w:pPr>
            <w:r>
              <w:rPr>
                <w:rFonts w:ascii="Arial" w:cs="Arial" w:eastAsia="Arial" w:hAnsi="Arial"/>
                <w:sz w:val="18"/>
                <w:szCs w:val="18"/>
                <w:color w:val="auto"/>
                <w:w w:val="99"/>
              </w:rPr>
              <w:t>1.1 %</w:t>
            </w:r>
          </w:p>
        </w:tc>
      </w:tr>
      <w:tr>
        <w:trPr>
          <w:trHeight w:val="237"/>
        </w:trPr>
        <w:tc>
          <w:tcPr>
            <w:tcW w:w="5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 growth, excluding tariff refunds (non-GAAP) (a)</w:t>
            </w:r>
          </w:p>
        </w:tc>
        <w:tc>
          <w:tcPr>
            <w:tcW w:w="160" w:type="dxa"/>
            <w:vAlign w:val="bottom"/>
            <w:shd w:val="clear" w:color="auto" w:fill="DBDBDB"/>
          </w:tcPr>
          <w:p>
            <w:pPr>
              <w:spacing w:after="0"/>
              <w:rPr>
                <w:sz w:val="20"/>
                <w:szCs w:val="20"/>
                <w:color w:val="auto"/>
              </w:rPr>
            </w:pPr>
          </w:p>
        </w:tc>
        <w:tc>
          <w:tcPr>
            <w:tcW w:w="122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7.6 %</w:t>
            </w:r>
          </w:p>
        </w:tc>
        <w:tc>
          <w:tcPr>
            <w:tcW w:w="10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260" w:type="dxa"/>
            <w:vAlign w:val="bottom"/>
            <w:shd w:val="clear" w:color="auto" w:fill="DBDBDB"/>
          </w:tcPr>
          <w:p>
            <w:pPr>
              <w:jc w:val="center"/>
              <w:ind w:left="673"/>
              <w:spacing w:after="0"/>
              <w:rPr>
                <w:sz w:val="20"/>
                <w:szCs w:val="20"/>
                <w:color w:val="auto"/>
              </w:rPr>
            </w:pPr>
            <w:r>
              <w:rPr>
                <w:rFonts w:ascii="Arial" w:cs="Arial" w:eastAsia="Arial" w:hAnsi="Arial"/>
                <w:sz w:val="18"/>
                <w:szCs w:val="18"/>
                <w:color w:val="auto"/>
                <w:w w:val="99"/>
              </w:rPr>
              <w:t>7.3 %</w:t>
            </w:r>
          </w:p>
        </w:tc>
      </w:tr>
      <w:tr>
        <w:trPr>
          <w:trHeight w:val="243"/>
        </w:trPr>
        <w:tc>
          <w:tcPr>
            <w:tcW w:w="5440" w:type="dxa"/>
            <w:vAlign w:val="bottom"/>
          </w:tcPr>
          <w:p>
            <w:pPr>
              <w:ind w:left="240"/>
              <w:spacing w:after="0"/>
              <w:rPr>
                <w:sz w:val="20"/>
                <w:szCs w:val="20"/>
                <w:color w:val="auto"/>
              </w:rPr>
            </w:pPr>
            <w:r>
              <w:rPr>
                <w:rFonts w:ascii="Arial" w:cs="Arial" w:eastAsia="Arial" w:hAnsi="Arial"/>
                <w:sz w:val="18"/>
                <w:szCs w:val="18"/>
                <w:color w:val="auto"/>
              </w:rPr>
              <w:t>Impact of acquisitions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54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Impact of currency exchange rates</w:t>
            </w:r>
          </w:p>
        </w:tc>
        <w:tc>
          <w:tcPr>
            <w:tcW w:w="160" w:type="dxa"/>
            <w:vAlign w:val="bottom"/>
            <w:shd w:val="clear" w:color="auto" w:fill="DBDBDB"/>
          </w:tcPr>
          <w:p>
            <w:pPr>
              <w:spacing w:after="0"/>
              <w:rPr>
                <w:sz w:val="21"/>
                <w:szCs w:val="21"/>
                <w:color w:val="auto"/>
              </w:rPr>
            </w:pPr>
          </w:p>
        </w:tc>
        <w:tc>
          <w:tcPr>
            <w:tcW w:w="122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020" w:type="dxa"/>
            <w:vAlign w:val="bottom"/>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00" w:type="dxa"/>
            <w:vAlign w:val="bottom"/>
            <w:tcBorders>
              <w:bottom w:val="single" w:sz="8" w:color="auto"/>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spacing w:after="0"/>
              <w:rPr>
                <w:sz w:val="21"/>
                <w:szCs w:val="21"/>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DBDBDB"/>
          </w:tcPr>
          <w:p>
            <w:pPr>
              <w:spacing w:after="0"/>
              <w:rPr>
                <w:sz w:val="21"/>
                <w:szCs w:val="21"/>
                <w:color w:val="auto"/>
              </w:rPr>
            </w:pPr>
          </w:p>
        </w:tc>
        <w:tc>
          <w:tcPr>
            <w:tcW w:w="60" w:type="dxa"/>
            <w:vAlign w:val="bottom"/>
            <w:tcBorders>
              <w:bottom w:val="single" w:sz="8" w:color="auto"/>
            </w:tcBorders>
            <w:shd w:val="clear" w:color="auto" w:fill="DBDBDB"/>
          </w:tcPr>
          <w:p>
            <w:pPr>
              <w:spacing w:after="0"/>
              <w:rPr>
                <w:sz w:val="21"/>
                <w:szCs w:val="21"/>
                <w:color w:val="auto"/>
              </w:rPr>
            </w:pPr>
          </w:p>
        </w:tc>
        <w:tc>
          <w:tcPr>
            <w:tcW w:w="80" w:type="dxa"/>
            <w:vAlign w:val="bottom"/>
            <w:tcBorders>
              <w:bottom w:val="single" w:sz="8" w:color="auto"/>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Organic revenue growth (non-GAAP) (a)</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left="673"/>
              <w:spacing w:after="0"/>
              <w:rPr>
                <w:sz w:val="20"/>
                <w:szCs w:val="20"/>
                <w:color w:val="auto"/>
              </w:rPr>
            </w:pPr>
            <w:r>
              <w:rPr>
                <w:rFonts w:ascii="Arial" w:cs="Arial" w:eastAsia="Arial" w:hAnsi="Arial"/>
                <w:sz w:val="18"/>
                <w:szCs w:val="18"/>
                <w:color w:val="auto"/>
                <w:w w:val="99"/>
              </w:rPr>
              <w:t>4.2 %</w:t>
            </w:r>
          </w:p>
        </w:tc>
      </w:tr>
      <w:tr>
        <w:trPr>
          <w:trHeight w:val="243"/>
        </w:trPr>
        <w:tc>
          <w:tcPr>
            <w:tcW w:w="54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Impact of China</w:t>
            </w:r>
          </w:p>
        </w:tc>
        <w:tc>
          <w:tcPr>
            <w:tcW w:w="160" w:type="dxa"/>
            <w:vAlign w:val="bottom"/>
            <w:shd w:val="clear" w:color="auto" w:fill="DBDBDB"/>
          </w:tcPr>
          <w:p>
            <w:pPr>
              <w:spacing w:after="0"/>
              <w:rPr>
                <w:sz w:val="21"/>
                <w:szCs w:val="21"/>
                <w:color w:val="auto"/>
              </w:rPr>
            </w:pPr>
          </w:p>
        </w:tc>
        <w:tc>
          <w:tcPr>
            <w:tcW w:w="122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020" w:type="dxa"/>
            <w:vAlign w:val="bottom"/>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spacing w:after="0"/>
              <w:rPr>
                <w:sz w:val="21"/>
                <w:szCs w:val="21"/>
                <w:color w:val="auto"/>
              </w:rPr>
            </w:pPr>
          </w:p>
        </w:tc>
        <w:tc>
          <w:tcPr>
            <w:tcW w:w="100" w:type="dxa"/>
            <w:vAlign w:val="bottom"/>
            <w:tcBorders>
              <w:bottom w:val="single" w:sz="8" w:color="auto"/>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spacing w:after="0"/>
              <w:rPr>
                <w:sz w:val="21"/>
                <w:szCs w:val="21"/>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DBDBDB"/>
          </w:tcPr>
          <w:p>
            <w:pPr>
              <w:spacing w:after="0"/>
              <w:rPr>
                <w:sz w:val="21"/>
                <w:szCs w:val="21"/>
                <w:color w:val="auto"/>
              </w:rPr>
            </w:pPr>
          </w:p>
        </w:tc>
        <w:tc>
          <w:tcPr>
            <w:tcW w:w="60" w:type="dxa"/>
            <w:vAlign w:val="bottom"/>
            <w:tcBorders>
              <w:bottom w:val="single" w:sz="8" w:color="auto"/>
            </w:tcBorders>
            <w:shd w:val="clear" w:color="auto" w:fill="DBDBDB"/>
          </w:tcPr>
          <w:p>
            <w:pPr>
              <w:spacing w:after="0"/>
              <w:rPr>
                <w:sz w:val="21"/>
                <w:szCs w:val="21"/>
                <w:color w:val="auto"/>
              </w:rPr>
            </w:pPr>
          </w:p>
        </w:tc>
        <w:tc>
          <w:tcPr>
            <w:tcW w:w="80" w:type="dxa"/>
            <w:vAlign w:val="bottom"/>
            <w:tcBorders>
              <w:bottom w:val="single" w:sz="8" w:color="auto"/>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1260" w:type="dxa"/>
            <w:vAlign w:val="bottom"/>
            <w:tcBorders>
              <w:bottom w:val="single" w:sz="8" w:color="auto"/>
            </w:tcBorders>
            <w:shd w:val="clear" w:color="auto" w:fill="DBDBDB"/>
          </w:tcPr>
          <w:p>
            <w:pPr>
              <w:jc w:val="center"/>
              <w:ind w:left="673"/>
              <w:spacing w:after="0"/>
              <w:rPr>
                <w:sz w:val="20"/>
                <w:szCs w:val="20"/>
                <w:color w:val="auto"/>
              </w:rPr>
            </w:pPr>
            <w:r>
              <w:rPr>
                <w:rFonts w:ascii="Arial" w:cs="Arial" w:eastAsia="Arial" w:hAnsi="Arial"/>
                <w:sz w:val="18"/>
                <w:szCs w:val="18"/>
                <w:color w:val="auto"/>
                <w:w w:val="99"/>
              </w:rPr>
              <w:t>1.2 %</w:t>
            </w: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ROW organic revenue growth (non-GAAP) (a)</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left="673"/>
              <w:spacing w:after="0"/>
              <w:rPr>
                <w:sz w:val="20"/>
                <w:szCs w:val="20"/>
                <w:color w:val="auto"/>
              </w:rPr>
            </w:pPr>
            <w:r>
              <w:rPr>
                <w:rFonts w:ascii="Arial" w:cs="Arial" w:eastAsia="Arial" w:hAnsi="Arial"/>
                <w:sz w:val="18"/>
                <w:szCs w:val="18"/>
                <w:color w:val="auto"/>
                <w:w w:val="99"/>
              </w:rPr>
              <w:t>5.4 %</w:t>
            </w:r>
          </w:p>
        </w:tc>
      </w:tr>
      <w:tr>
        <w:trPr>
          <w:trHeight w:val="21"/>
        </w:trPr>
        <w:tc>
          <w:tcPr>
            <w:tcW w:w="682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840"/>
        </w:trPr>
        <w:tc>
          <w:tcPr>
            <w:tcW w:w="8280" w:type="dxa"/>
            <w:vAlign w:val="bottom"/>
            <w:gridSpan w:val="7"/>
          </w:tcPr>
          <w:p>
            <w:pPr>
              <w:spacing w:after="0"/>
              <w:rPr>
                <w:sz w:val="20"/>
                <w:szCs w:val="20"/>
                <w:color w:val="auto"/>
              </w:rPr>
            </w:pPr>
            <w:r>
              <w:rPr>
                <w:rFonts w:ascii="Arial" w:cs="Arial" w:eastAsia="Arial" w:hAnsi="Arial"/>
                <w:sz w:val="17"/>
                <w:szCs w:val="17"/>
                <w:b w:val="1"/>
                <w:bCs w:val="1"/>
                <w:color w:val="auto"/>
              </w:rPr>
              <w:t>TABLE 2: RECONCILIATION OF GAAP AND NON-GAAP DILUTED EARNINGS PER SHARE: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83"/>
        </w:trPr>
        <w:tc>
          <w:tcPr>
            <w:tcW w:w="5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653"/>
              <w:spacing w:after="0"/>
              <w:rPr>
                <w:sz w:val="20"/>
                <w:szCs w:val="20"/>
                <w:color w:val="auto"/>
              </w:rPr>
            </w:pPr>
            <w:r>
              <w:rPr>
                <w:rFonts w:ascii="Arial" w:cs="Arial" w:eastAsia="Arial" w:hAnsi="Arial"/>
                <w:sz w:val="14"/>
                <w:szCs w:val="14"/>
                <w:b w:val="1"/>
                <w:bCs w:val="1"/>
                <w:color w:val="auto"/>
              </w:rPr>
              <w:t>Nine Months Ended</w:t>
            </w:r>
          </w:p>
        </w:tc>
      </w:tr>
      <w:tr>
        <w:trPr>
          <w:trHeight w:val="157"/>
        </w:trPr>
        <w:tc>
          <w:tcPr>
            <w:tcW w:w="5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rPr>
              <w:t>September 27,</w:t>
            </w:r>
          </w:p>
        </w:tc>
        <w:tc>
          <w:tcPr>
            <w:tcW w:w="160" w:type="dxa"/>
            <w:vAlign w:val="bottom"/>
          </w:tcPr>
          <w:p>
            <w:pPr>
              <w:spacing w:after="0"/>
              <w:rPr>
                <w:sz w:val="13"/>
                <w:szCs w:val="13"/>
                <w:color w:val="auto"/>
              </w:rPr>
            </w:pPr>
          </w:p>
        </w:tc>
        <w:tc>
          <w:tcPr>
            <w:tcW w:w="1220" w:type="dxa"/>
            <w:vAlign w:val="bottom"/>
            <w:gridSpan w:val="2"/>
          </w:tcPr>
          <w:p>
            <w:pPr>
              <w:jc w:val="right"/>
              <w:ind w:right="128"/>
              <w:spacing w:after="0" w:line="157" w:lineRule="exact"/>
              <w:rPr>
                <w:sz w:val="20"/>
                <w:szCs w:val="20"/>
                <w:color w:val="auto"/>
              </w:rPr>
            </w:pPr>
            <w:r>
              <w:rPr>
                <w:rFonts w:ascii="Arial" w:cs="Arial" w:eastAsia="Arial" w:hAnsi="Arial"/>
                <w:sz w:val="14"/>
                <w:szCs w:val="14"/>
                <w:b w:val="1"/>
                <w:bCs w:val="1"/>
                <w:color w:val="auto"/>
              </w:rPr>
              <w:t>September 28,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right"/>
              <w:ind w:right="200"/>
              <w:spacing w:after="0" w:line="157" w:lineRule="exact"/>
              <w:rPr>
                <w:sz w:val="20"/>
                <w:szCs w:val="20"/>
                <w:color w:val="auto"/>
              </w:rPr>
            </w:pPr>
            <w:r>
              <w:rPr>
                <w:rFonts w:ascii="Arial" w:cs="Arial" w:eastAsia="Arial" w:hAnsi="Arial"/>
                <w:sz w:val="14"/>
                <w:szCs w:val="14"/>
                <w:b w:val="1"/>
                <w:bCs w:val="1"/>
                <w:color w:val="auto"/>
              </w:rPr>
              <w:t>September 27,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ind w:right="113"/>
              <w:spacing w:after="0" w:line="157" w:lineRule="exact"/>
              <w:rPr>
                <w:sz w:val="20"/>
                <w:szCs w:val="20"/>
                <w:color w:val="auto"/>
              </w:rPr>
            </w:pPr>
            <w:r>
              <w:rPr>
                <w:rFonts w:ascii="Arial" w:cs="Arial" w:eastAsia="Arial" w:hAnsi="Arial"/>
                <w:sz w:val="14"/>
                <w:szCs w:val="14"/>
                <w:b w:val="1"/>
                <w:bCs w:val="1"/>
                <w:color w:val="auto"/>
              </w:rPr>
              <w:t>September 28,</w:t>
            </w:r>
          </w:p>
        </w:tc>
      </w:tr>
      <w:tr>
        <w:trPr>
          <w:trHeight w:val="189"/>
        </w:trPr>
        <w:tc>
          <w:tcPr>
            <w:tcW w:w="5440" w:type="dxa"/>
            <w:vAlign w:val="bottom"/>
            <w:tcBorders>
              <w:bottom w:val="single" w:sz="8" w:color="DBDBDB"/>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DBDBDB"/>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2025</w:t>
            </w:r>
          </w:p>
        </w:tc>
      </w:tr>
      <w:tr>
        <w:trPr>
          <w:trHeight w:val="237"/>
        </w:trPr>
        <w:tc>
          <w:tcPr>
            <w:tcW w:w="54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GAAP diluted earnings per share</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1.43</w:t>
            </w:r>
          </w:p>
        </w:tc>
        <w:tc>
          <w:tcPr>
            <w:tcW w:w="80" w:type="dxa"/>
            <w:vAlign w:val="bottom"/>
            <w:shd w:val="clear" w:color="auto" w:fill="DBDBDB"/>
          </w:tcPr>
          <w:p>
            <w:pPr>
              <w:spacing w:after="0"/>
              <w:rPr>
                <w:sz w:val="20"/>
                <w:szCs w:val="20"/>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DBDBDB"/>
          </w:tcPr>
          <w:p>
            <w:pPr>
              <w:jc w:val="right"/>
              <w:ind w:right="8"/>
              <w:spacing w:after="0"/>
              <w:rPr>
                <w:sz w:val="20"/>
                <w:szCs w:val="20"/>
                <w:color w:val="auto"/>
              </w:rPr>
            </w:pPr>
            <w:r>
              <w:rPr>
                <w:rFonts w:ascii="Arial" w:cs="Arial" w:eastAsia="Arial" w:hAnsi="Arial"/>
                <w:sz w:val="18"/>
                <w:szCs w:val="18"/>
                <w:color w:val="auto"/>
              </w:rPr>
              <w:t>0.98</w:t>
            </w:r>
          </w:p>
        </w:tc>
        <w:tc>
          <w:tcPr>
            <w:tcW w:w="26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b w:val="1"/>
                <w:bCs w:val="1"/>
                <w:color w:val="auto"/>
              </w:rPr>
              <w:t>3.65</w:t>
            </w:r>
          </w:p>
        </w:tc>
        <w:tc>
          <w:tcPr>
            <w:tcW w:w="60" w:type="dxa"/>
            <w:vAlign w:val="bottom"/>
            <w:shd w:val="clear" w:color="auto" w:fill="DBDBDB"/>
          </w:tcPr>
          <w:p>
            <w:pPr>
              <w:spacing w:after="0"/>
              <w:rPr>
                <w:sz w:val="20"/>
                <w:szCs w:val="20"/>
                <w:color w:val="auto"/>
              </w:rPr>
            </w:pP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BDBDB"/>
          </w:tcPr>
          <w:p>
            <w:pPr>
              <w:jc w:val="center"/>
              <w:ind w:left="673"/>
              <w:spacing w:after="0"/>
              <w:rPr>
                <w:sz w:val="20"/>
                <w:szCs w:val="20"/>
                <w:color w:val="auto"/>
              </w:rPr>
            </w:pPr>
            <w:r>
              <w:rPr>
                <w:rFonts w:ascii="Arial" w:cs="Arial" w:eastAsia="Arial" w:hAnsi="Arial"/>
                <w:sz w:val="18"/>
                <w:szCs w:val="18"/>
                <w:color w:val="auto"/>
                <w:w w:val="96"/>
              </w:rPr>
              <w:t>3.29</w:t>
            </w:r>
          </w:p>
        </w:tc>
      </w:tr>
      <w:tr>
        <w:trPr>
          <w:trHeight w:val="243"/>
        </w:trPr>
        <w:tc>
          <w:tcPr>
            <w:tcW w:w="5440" w:type="dxa"/>
            <w:vAlign w:val="bottom"/>
          </w:tcPr>
          <w:p>
            <w:pPr>
              <w:ind w:left="140"/>
              <w:spacing w:after="0"/>
              <w:rPr>
                <w:sz w:val="20"/>
                <w:szCs w:val="20"/>
                <w:color w:val="auto"/>
              </w:rPr>
            </w:pPr>
            <w:r>
              <w:rPr>
                <w:rFonts w:ascii="Arial" w:cs="Arial" w:eastAsia="Arial" w:hAnsi="Arial"/>
                <w:sz w:val="18"/>
                <w:szCs w:val="18"/>
                <w:color w:val="auto"/>
              </w:rPr>
              <w:t>Acquisition-related costs (d)</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0.10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8"/>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0.33</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center"/>
              <w:ind w:left="673"/>
              <w:spacing w:after="0"/>
              <w:rPr>
                <w:sz w:val="20"/>
                <w:szCs w:val="20"/>
                <w:color w:val="auto"/>
              </w:rPr>
            </w:pPr>
            <w:r>
              <w:rPr>
                <w:rFonts w:ascii="Arial" w:cs="Arial" w:eastAsia="Arial" w:hAnsi="Arial"/>
                <w:sz w:val="18"/>
                <w:szCs w:val="18"/>
                <w:color w:val="auto"/>
                <w:w w:val="96"/>
              </w:rPr>
              <w:t>0.28</w:t>
            </w:r>
          </w:p>
        </w:tc>
      </w:tr>
      <w:tr>
        <w:trPr>
          <w:trHeight w:val="243"/>
        </w:trPr>
        <w:tc>
          <w:tcPr>
            <w:tcW w:w="54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Transformational initiatives (e)</w:t>
            </w:r>
          </w:p>
        </w:tc>
        <w:tc>
          <w:tcPr>
            <w:tcW w:w="160" w:type="dxa"/>
            <w:vAlign w:val="bottom"/>
            <w:shd w:val="clear" w:color="auto" w:fill="DBDBDB"/>
          </w:tcPr>
          <w:p>
            <w:pPr>
              <w:spacing w:after="0"/>
              <w:rPr>
                <w:sz w:val="21"/>
                <w:szCs w:val="2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0.03</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220" w:type="dxa"/>
            <w:vAlign w:val="bottom"/>
            <w:gridSpan w:val="2"/>
            <w:shd w:val="clear" w:color="auto" w:fill="DBDBDB"/>
          </w:tcPr>
          <w:p>
            <w:pPr>
              <w:jc w:val="right"/>
              <w:ind w:right="8"/>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16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b w:val="1"/>
                <w:bCs w:val="1"/>
                <w:color w:val="auto"/>
              </w:rPr>
              <w:t>0.10</w:t>
            </w:r>
          </w:p>
        </w:tc>
        <w:tc>
          <w:tcPr>
            <w:tcW w:w="6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60" w:type="dxa"/>
            <w:vAlign w:val="bottom"/>
            <w:shd w:val="clear" w:color="auto" w:fill="DBDBDB"/>
          </w:tcPr>
          <w:p>
            <w:pPr>
              <w:jc w:val="center"/>
              <w:ind w:left="673"/>
              <w:spacing w:after="0"/>
              <w:rPr>
                <w:sz w:val="20"/>
                <w:szCs w:val="20"/>
                <w:color w:val="auto"/>
              </w:rPr>
            </w:pPr>
            <w:r>
              <w:rPr>
                <w:rFonts w:ascii="Arial" w:cs="Arial" w:eastAsia="Arial" w:hAnsi="Arial"/>
                <w:sz w:val="18"/>
                <w:szCs w:val="18"/>
                <w:color w:val="auto"/>
                <w:w w:val="96"/>
              </w:rPr>
              <w:t>0.33</w:t>
            </w:r>
          </w:p>
        </w:tc>
      </w:tr>
      <w:tr>
        <w:trPr>
          <w:trHeight w:val="243"/>
        </w:trPr>
        <w:tc>
          <w:tcPr>
            <w:tcW w:w="5440" w:type="dxa"/>
            <w:vAlign w:val="bottom"/>
          </w:tcPr>
          <w:p>
            <w:pPr>
              <w:ind w:left="140"/>
              <w:spacing w:after="0"/>
              <w:rPr>
                <w:sz w:val="20"/>
                <w:szCs w:val="20"/>
                <w:color w:val="auto"/>
              </w:rPr>
            </w:pPr>
            <w:r>
              <w:rPr>
                <w:rFonts w:ascii="Arial" w:cs="Arial" w:eastAsia="Arial" w:hAnsi="Arial"/>
                <w:sz w:val="18"/>
                <w:szCs w:val="18"/>
                <w:color w:val="auto"/>
              </w:rPr>
              <w:t>Strategic investment loss (gain), net (f)</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0.19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0.27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(0.90)</w:t>
            </w:r>
          </w:p>
        </w:tc>
      </w:tr>
      <w:tr>
        <w:trPr>
          <w:trHeight w:val="243"/>
        </w:trPr>
        <w:tc>
          <w:tcPr>
            <w:tcW w:w="54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Intangible impairment</w:t>
            </w:r>
          </w:p>
        </w:tc>
        <w:tc>
          <w:tcPr>
            <w:tcW w:w="160" w:type="dxa"/>
            <w:vAlign w:val="bottom"/>
            <w:shd w:val="clear" w:color="auto" w:fill="DBDBDB"/>
          </w:tcPr>
          <w:p>
            <w:pPr>
              <w:spacing w:after="0"/>
              <w:rPr>
                <w:sz w:val="21"/>
                <w:szCs w:val="21"/>
                <w:color w:val="auto"/>
              </w:rPr>
            </w:pPr>
          </w:p>
        </w:tc>
        <w:tc>
          <w:tcPr>
            <w:tcW w:w="13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21"/>
                <w:szCs w:val="21"/>
                <w:color w:val="auto"/>
              </w:rPr>
            </w:pPr>
          </w:p>
        </w:tc>
        <w:tc>
          <w:tcPr>
            <w:tcW w:w="1220" w:type="dxa"/>
            <w:vAlign w:val="bottom"/>
            <w:gridSpan w:val="2"/>
            <w:shd w:val="clear" w:color="auto" w:fill="DBDBDB"/>
          </w:tcPr>
          <w:p>
            <w:pPr>
              <w:jc w:val="right"/>
              <w:ind w:right="8"/>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220" w:type="dxa"/>
            <w:vAlign w:val="bottom"/>
            <w:gridSpan w:val="3"/>
            <w:shd w:val="clear" w:color="auto" w:fill="DBDBDB"/>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60" w:type="dxa"/>
            <w:vAlign w:val="bottom"/>
            <w:shd w:val="clear" w:color="auto" w:fill="DBDBDB"/>
          </w:tcPr>
          <w:p>
            <w:pPr>
              <w:jc w:val="center"/>
              <w:ind w:left="673"/>
              <w:spacing w:after="0"/>
              <w:rPr>
                <w:sz w:val="20"/>
                <w:szCs w:val="20"/>
                <w:color w:val="auto"/>
              </w:rPr>
            </w:pPr>
            <w:r>
              <w:rPr>
                <w:rFonts w:ascii="Arial" w:cs="Arial" w:eastAsia="Arial" w:hAnsi="Arial"/>
                <w:sz w:val="18"/>
                <w:szCs w:val="18"/>
                <w:color w:val="auto"/>
                <w:w w:val="96"/>
              </w:rPr>
              <w:t>0.15</w:t>
            </w:r>
          </w:p>
        </w:tc>
      </w:tr>
      <w:tr>
        <w:trPr>
          <w:trHeight w:val="243"/>
        </w:trPr>
        <w:tc>
          <w:tcPr>
            <w:tcW w:w="5440" w:type="dxa"/>
            <w:vAlign w:val="bottom"/>
          </w:tcPr>
          <w:p>
            <w:pPr>
              <w:ind w:left="140"/>
              <w:spacing w:after="0"/>
              <w:rPr>
                <w:sz w:val="20"/>
                <w:szCs w:val="20"/>
                <w:color w:val="auto"/>
              </w:rPr>
            </w:pPr>
            <w:r>
              <w:rPr>
                <w:rFonts w:ascii="Arial" w:cs="Arial" w:eastAsia="Arial" w:hAnsi="Arial"/>
                <w:sz w:val="18"/>
                <w:szCs w:val="18"/>
                <w:color w:val="auto"/>
              </w:rPr>
              <w:t>Other (g)</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center"/>
              <w:ind w:left="673"/>
              <w:spacing w:after="0"/>
              <w:rPr>
                <w:sz w:val="20"/>
                <w:szCs w:val="20"/>
                <w:color w:val="auto"/>
              </w:rPr>
            </w:pPr>
            <w:r>
              <w:rPr>
                <w:rFonts w:ascii="Arial" w:cs="Arial" w:eastAsia="Arial" w:hAnsi="Arial"/>
                <w:sz w:val="18"/>
                <w:szCs w:val="18"/>
                <w:color w:val="auto"/>
                <w:w w:val="96"/>
              </w:rPr>
              <w:t>0.03</w:t>
            </w:r>
          </w:p>
        </w:tc>
      </w:tr>
      <w:tr>
        <w:trPr>
          <w:trHeight w:val="243"/>
        </w:trPr>
        <w:tc>
          <w:tcPr>
            <w:tcW w:w="54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Provision for income taxes (h)</w:t>
            </w:r>
          </w:p>
        </w:tc>
        <w:tc>
          <w:tcPr>
            <w:tcW w:w="160" w:type="dxa"/>
            <w:vAlign w:val="bottom"/>
            <w:tcBorders>
              <w:bottom w:val="single" w:sz="8" w:color="auto"/>
            </w:tcBorders>
            <w:shd w:val="clear" w:color="auto" w:fill="DBDBDB"/>
          </w:tcPr>
          <w:p>
            <w:pPr>
              <w:spacing w:after="0"/>
              <w:rPr>
                <w:sz w:val="21"/>
                <w:szCs w:val="21"/>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(0.13)</w:t>
            </w:r>
          </w:p>
        </w:tc>
        <w:tc>
          <w:tcPr>
            <w:tcW w:w="80" w:type="dxa"/>
            <w:vAlign w:val="bottom"/>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spacing w:after="0"/>
              <w:rPr>
                <w:sz w:val="21"/>
                <w:szCs w:val="21"/>
                <w:color w:val="auto"/>
              </w:rPr>
            </w:pPr>
          </w:p>
        </w:tc>
        <w:tc>
          <w:tcPr>
            <w:tcW w:w="1220" w:type="dxa"/>
            <w:vAlign w:val="bottom"/>
            <w:tcBorders>
              <w:bottom w:val="single" w:sz="8" w:color="auto"/>
            </w:tcBorders>
            <w:gridSpan w:val="2"/>
            <w:shd w:val="clear" w:color="auto" w:fill="DBDBDB"/>
          </w:tcPr>
          <w:p>
            <w:pPr>
              <w:jc w:val="right"/>
              <w:ind w:right="8"/>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spacing w:after="0"/>
              <w:rPr>
                <w:sz w:val="21"/>
                <w:szCs w:val="21"/>
                <w:color w:val="auto"/>
              </w:rPr>
            </w:pPr>
          </w:p>
        </w:tc>
        <w:tc>
          <w:tcPr>
            <w:tcW w:w="1220" w:type="dxa"/>
            <w:vAlign w:val="bottom"/>
            <w:tcBorders>
              <w:bottom w:val="single" w:sz="8" w:color="auto"/>
            </w:tcBorders>
            <w:gridSpan w:val="3"/>
            <w:shd w:val="clear" w:color="auto" w:fill="DBDBDB"/>
          </w:tcPr>
          <w:p>
            <w:pPr>
              <w:jc w:val="right"/>
              <w:ind w:right="40"/>
              <w:spacing w:after="0"/>
              <w:rPr>
                <w:sz w:val="20"/>
                <w:szCs w:val="20"/>
                <w:color w:val="auto"/>
              </w:rPr>
            </w:pPr>
            <w:r>
              <w:rPr>
                <w:rFonts w:ascii="Arial" w:cs="Arial" w:eastAsia="Arial" w:hAnsi="Arial"/>
                <w:sz w:val="18"/>
                <w:szCs w:val="18"/>
                <w:b w:val="1"/>
                <w:bCs w:val="1"/>
                <w:color w:val="auto"/>
              </w:rPr>
              <w:t>(0.27)</w:t>
            </w:r>
          </w:p>
        </w:tc>
        <w:tc>
          <w:tcPr>
            <w:tcW w:w="80" w:type="dxa"/>
            <w:vAlign w:val="bottom"/>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1260" w:type="dxa"/>
            <w:vAlign w:val="bottom"/>
            <w:tcBorders>
              <w:bottom w:val="single" w:sz="8" w:color="auto"/>
            </w:tcBorders>
            <w:shd w:val="clear" w:color="auto" w:fill="DBDBDB"/>
          </w:tcPr>
          <w:p>
            <w:pPr>
              <w:jc w:val="center"/>
              <w:ind w:left="673"/>
              <w:spacing w:after="0"/>
              <w:rPr>
                <w:sz w:val="20"/>
                <w:szCs w:val="20"/>
                <w:color w:val="auto"/>
              </w:rPr>
            </w:pPr>
            <w:r>
              <w:rPr>
                <w:rFonts w:ascii="Arial" w:cs="Arial" w:eastAsia="Arial" w:hAnsi="Arial"/>
                <w:sz w:val="18"/>
                <w:szCs w:val="18"/>
                <w:color w:val="auto"/>
                <w:w w:val="96"/>
              </w:rPr>
              <w:t>0.31</w:t>
            </w:r>
          </w:p>
        </w:tc>
      </w:tr>
      <w:tr>
        <w:trPr>
          <w:trHeight w:val="236"/>
        </w:trPr>
        <w:tc>
          <w:tcPr>
            <w:tcW w:w="5440" w:type="dxa"/>
            <w:vAlign w:val="bottom"/>
          </w:tcPr>
          <w:p>
            <w:pPr>
              <w:ind w:left="20"/>
              <w:spacing w:after="0"/>
              <w:rPr>
                <w:sz w:val="20"/>
                <w:szCs w:val="20"/>
                <w:color w:val="auto"/>
              </w:rPr>
            </w:pPr>
            <w:r>
              <w:rPr>
                <w:rFonts w:ascii="Arial" w:cs="Arial" w:eastAsia="Arial" w:hAnsi="Arial"/>
                <w:sz w:val="18"/>
                <w:szCs w:val="18"/>
                <w:color w:val="auto"/>
              </w:rPr>
              <w:t>Non-GAAP diluted earnings per share (b)</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8"/>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left="673"/>
              <w:spacing w:after="0"/>
              <w:rPr>
                <w:sz w:val="20"/>
                <w:szCs w:val="20"/>
                <w:color w:val="auto"/>
              </w:rPr>
            </w:pPr>
            <w:r>
              <w:rPr>
                <w:rFonts w:ascii="Arial" w:cs="Arial" w:eastAsia="Arial" w:hAnsi="Arial"/>
                <w:sz w:val="18"/>
                <w:szCs w:val="18"/>
                <w:color w:val="auto"/>
                <w:w w:val="96"/>
              </w:rPr>
              <w:t>3.49</w:t>
            </w:r>
          </w:p>
        </w:tc>
      </w:tr>
      <w:tr>
        <w:trPr>
          <w:trHeight w:val="243"/>
        </w:trPr>
        <w:tc>
          <w:tcPr>
            <w:tcW w:w="54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Tariff refunds (i)</w:t>
            </w:r>
          </w:p>
        </w:tc>
        <w:tc>
          <w:tcPr>
            <w:tcW w:w="160" w:type="dxa"/>
            <w:vAlign w:val="bottom"/>
            <w:tcBorders>
              <w:bottom w:val="single" w:sz="8" w:color="auto"/>
            </w:tcBorders>
            <w:shd w:val="clear" w:color="auto" w:fill="DBDBDB"/>
          </w:tcPr>
          <w:p>
            <w:pPr>
              <w:spacing w:after="0"/>
              <w:rPr>
                <w:sz w:val="21"/>
                <w:szCs w:val="21"/>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(0.18)</w:t>
            </w:r>
          </w:p>
        </w:tc>
        <w:tc>
          <w:tcPr>
            <w:tcW w:w="80" w:type="dxa"/>
            <w:vAlign w:val="bottom"/>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spacing w:after="0"/>
              <w:rPr>
                <w:sz w:val="21"/>
                <w:szCs w:val="21"/>
                <w:color w:val="auto"/>
              </w:rPr>
            </w:pPr>
          </w:p>
        </w:tc>
        <w:tc>
          <w:tcPr>
            <w:tcW w:w="1220" w:type="dxa"/>
            <w:vAlign w:val="bottom"/>
            <w:tcBorders>
              <w:bottom w:val="single" w:sz="8" w:color="auto"/>
            </w:tcBorders>
            <w:gridSpan w:val="2"/>
            <w:shd w:val="clear" w:color="auto" w:fill="DBDBDB"/>
          </w:tcPr>
          <w:p>
            <w:pPr>
              <w:jc w:val="right"/>
              <w:ind w:right="8"/>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spacing w:after="0"/>
              <w:rPr>
                <w:sz w:val="21"/>
                <w:szCs w:val="21"/>
                <w:color w:val="auto"/>
              </w:rPr>
            </w:pPr>
          </w:p>
        </w:tc>
        <w:tc>
          <w:tcPr>
            <w:tcW w:w="1220" w:type="dxa"/>
            <w:vAlign w:val="bottom"/>
            <w:tcBorders>
              <w:bottom w:val="single" w:sz="8" w:color="auto"/>
            </w:tcBorders>
            <w:gridSpan w:val="3"/>
            <w:shd w:val="clear" w:color="auto" w:fill="DBDBDB"/>
          </w:tcPr>
          <w:p>
            <w:pPr>
              <w:jc w:val="right"/>
              <w:ind w:right="40"/>
              <w:spacing w:after="0"/>
              <w:rPr>
                <w:sz w:val="20"/>
                <w:szCs w:val="20"/>
                <w:color w:val="auto"/>
              </w:rPr>
            </w:pPr>
            <w:r>
              <w:rPr>
                <w:rFonts w:ascii="Arial" w:cs="Arial" w:eastAsia="Arial" w:hAnsi="Arial"/>
                <w:sz w:val="18"/>
                <w:szCs w:val="18"/>
                <w:b w:val="1"/>
                <w:bCs w:val="1"/>
                <w:color w:val="auto"/>
              </w:rPr>
              <w:t>(0.18)</w:t>
            </w:r>
          </w:p>
        </w:tc>
        <w:tc>
          <w:tcPr>
            <w:tcW w:w="80" w:type="dxa"/>
            <w:vAlign w:val="bottom"/>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440" w:type="dxa"/>
            <w:vAlign w:val="bottom"/>
          </w:tcPr>
          <w:p>
            <w:pPr>
              <w:ind w:left="20"/>
              <w:spacing w:after="0"/>
              <w:rPr>
                <w:sz w:val="20"/>
                <w:szCs w:val="20"/>
                <w:color w:val="auto"/>
              </w:rPr>
            </w:pPr>
            <w:r>
              <w:rPr>
                <w:rFonts w:ascii="Arial" w:cs="Arial" w:eastAsia="Arial" w:hAnsi="Arial"/>
                <w:sz w:val="18"/>
                <w:szCs w:val="18"/>
                <w:color w:val="auto"/>
              </w:rPr>
              <w:t>Non-GAAP diluted earnings per share, excluding tariff refunds (b)</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8"/>
              <w:spacing w:after="0"/>
              <w:rPr>
                <w:sz w:val="20"/>
                <w:szCs w:val="20"/>
                <w:color w:val="auto"/>
              </w:rPr>
            </w:pPr>
            <w:r>
              <w:rPr>
                <w:rFonts w:ascii="Arial" w:cs="Arial" w:eastAsia="Arial" w:hAnsi="Arial"/>
                <w:sz w:val="18"/>
                <w:szCs w:val="18"/>
                <w:color w:val="auto"/>
              </w:rPr>
              <w:t>1.34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3.90</w:t>
            </w:r>
          </w:p>
        </w:tc>
        <w:tc>
          <w:tcPr>
            <w:tcW w:w="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center"/>
              <w:ind w:left="673"/>
              <w:spacing w:after="0"/>
              <w:rPr>
                <w:sz w:val="20"/>
                <w:szCs w:val="20"/>
                <w:color w:val="auto"/>
              </w:rPr>
            </w:pPr>
            <w:r>
              <w:rPr>
                <w:rFonts w:ascii="Arial" w:cs="Arial" w:eastAsia="Arial" w:hAnsi="Arial"/>
                <w:sz w:val="18"/>
                <w:szCs w:val="18"/>
                <w:color w:val="auto"/>
                <w:w w:val="96"/>
              </w:rPr>
              <w:t>3.49</w:t>
            </w:r>
          </w:p>
        </w:tc>
      </w:tr>
      <w:tr>
        <w:trPr>
          <w:trHeight w:val="20"/>
        </w:trPr>
        <w:tc>
          <w:tcPr>
            <w:tcW w:w="5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836" w:right="3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Illumina,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 - Non-GAAP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3: RECONCILIATION OF GAAP AND NON-GAAP RESULTS OF OPERATIONS AS A PERCENT OF REVENUE:</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4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80" w:type="dxa"/>
            <w:vAlign w:val="bottom"/>
          </w:tcPr>
          <w:p>
            <w:pPr>
              <w:spacing w:after="0"/>
              <w:rPr>
                <w:sz w:val="18"/>
                <w:szCs w:val="18"/>
                <w:color w:val="auto"/>
              </w:rPr>
            </w:pPr>
          </w:p>
        </w:tc>
        <w:tc>
          <w:tcPr>
            <w:tcW w:w="17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27, 2026</w:t>
            </w:r>
          </w:p>
        </w:tc>
        <w:tc>
          <w:tcPr>
            <w:tcW w:w="180" w:type="dxa"/>
            <w:vAlign w:val="bottom"/>
          </w:tcPr>
          <w:p>
            <w:pPr>
              <w:spacing w:after="0"/>
              <w:rPr>
                <w:sz w:val="18"/>
                <w:szCs w:val="18"/>
                <w:color w:val="auto"/>
              </w:rPr>
            </w:pPr>
          </w:p>
        </w:tc>
        <w:tc>
          <w:tcPr>
            <w:tcW w:w="17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28, 2025</w:t>
            </w:r>
          </w:p>
        </w:tc>
        <w:tc>
          <w:tcPr>
            <w:tcW w:w="200" w:type="dxa"/>
            <w:vAlign w:val="bottom"/>
          </w:tcPr>
          <w:p>
            <w:pPr>
              <w:spacing w:after="0"/>
              <w:rPr>
                <w:sz w:val="18"/>
                <w:szCs w:val="18"/>
                <w:color w:val="auto"/>
              </w:rPr>
            </w:pPr>
          </w:p>
        </w:tc>
        <w:tc>
          <w:tcPr>
            <w:tcW w:w="18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27, 2026</w:t>
            </w:r>
          </w:p>
        </w:tc>
        <w:tc>
          <w:tcPr>
            <w:tcW w:w="200" w:type="dxa"/>
            <w:vAlign w:val="bottom"/>
          </w:tcPr>
          <w:p>
            <w:pPr>
              <w:spacing w:after="0"/>
              <w:rPr>
                <w:sz w:val="18"/>
                <w:szCs w:val="18"/>
                <w:color w:val="auto"/>
              </w:rPr>
            </w:pPr>
          </w:p>
        </w:tc>
        <w:tc>
          <w:tcPr>
            <w:tcW w:w="17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September 28, 2025</w:t>
            </w:r>
          </w:p>
        </w:tc>
        <w:tc>
          <w:tcPr>
            <w:tcW w:w="0" w:type="dxa"/>
            <w:vAlign w:val="bottom"/>
          </w:tcPr>
          <w:p>
            <w:pPr>
              <w:spacing w:after="0"/>
              <w:rPr>
                <w:sz w:val="1"/>
                <w:szCs w:val="1"/>
                <w:color w:val="auto"/>
              </w:rPr>
            </w:pPr>
          </w:p>
        </w:tc>
      </w:tr>
      <w:tr>
        <w:trPr>
          <w:trHeight w:val="238"/>
        </w:trPr>
        <w:tc>
          <w:tcPr>
            <w:tcW w:w="344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8"/>
                <w:szCs w:val="18"/>
                <w:b w:val="1"/>
                <w:bCs w:val="1"/>
                <w:color w:val="auto"/>
              </w:rPr>
              <w:t>GAAP gross profit (c)</w:t>
            </w:r>
          </w:p>
        </w:tc>
        <w:tc>
          <w:tcPr>
            <w:tcW w:w="18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shd w:val="clear" w:color="auto" w:fill="DDDDDD"/>
          </w:tcPr>
          <w:p>
            <w:pPr>
              <w:jc w:val="right"/>
              <w:ind w:right="131"/>
              <w:spacing w:after="0"/>
              <w:rPr>
                <w:sz w:val="20"/>
                <w:szCs w:val="20"/>
                <w:color w:val="auto"/>
              </w:rPr>
            </w:pPr>
            <w:r>
              <w:rPr>
                <w:rFonts w:ascii="Arial" w:cs="Arial" w:eastAsia="Arial" w:hAnsi="Arial"/>
                <w:sz w:val="18"/>
                <w:szCs w:val="18"/>
                <w:b w:val="1"/>
                <w:bCs w:val="1"/>
                <w:color w:val="auto"/>
              </w:rPr>
              <w:t>830</w:t>
            </w:r>
          </w:p>
        </w:tc>
        <w:tc>
          <w:tcPr>
            <w:tcW w:w="8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rPr>
              <w:t>73.5 %</w:t>
            </w:r>
          </w:p>
        </w:tc>
        <w:tc>
          <w:tcPr>
            <w:tcW w:w="100" w:type="dxa"/>
            <w:vAlign w:val="bottom"/>
            <w:tcBorders>
              <w:top w:val="single" w:sz="8" w:color="DDDDDD"/>
            </w:tcBorders>
            <w:shd w:val="clear" w:color="auto" w:fill="DDDDDD"/>
          </w:tcPr>
          <w:p>
            <w:pPr>
              <w:spacing w:after="0"/>
              <w:rPr>
                <w:sz w:val="20"/>
                <w:szCs w:val="20"/>
                <w:color w:val="auto"/>
              </w:rPr>
            </w:pPr>
          </w:p>
        </w:tc>
        <w:tc>
          <w:tcPr>
            <w:tcW w:w="18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DDDDDD"/>
          </w:tcPr>
          <w:p>
            <w:pPr>
              <w:jc w:val="right"/>
              <w:ind w:right="151"/>
              <w:spacing w:after="0"/>
              <w:rPr>
                <w:sz w:val="20"/>
                <w:szCs w:val="20"/>
                <w:color w:val="auto"/>
              </w:rPr>
            </w:pPr>
            <w:r>
              <w:rPr>
                <w:rFonts w:ascii="Arial" w:cs="Arial" w:eastAsia="Arial" w:hAnsi="Arial"/>
                <w:sz w:val="18"/>
                <w:szCs w:val="18"/>
                <w:color w:val="auto"/>
              </w:rPr>
              <w:t>733</w:t>
            </w:r>
          </w:p>
        </w:tc>
        <w:tc>
          <w:tcPr>
            <w:tcW w:w="8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67.6 %</w:t>
            </w:r>
          </w:p>
        </w:tc>
        <w:tc>
          <w:tcPr>
            <w:tcW w:w="80" w:type="dxa"/>
            <w:vAlign w:val="bottom"/>
            <w:tcBorders>
              <w:top w:val="single" w:sz="8" w:color="DDDDDD"/>
            </w:tcBorders>
            <w:shd w:val="clear" w:color="auto" w:fill="DDDDDD"/>
          </w:tcPr>
          <w:p>
            <w:pPr>
              <w:spacing w:after="0"/>
              <w:rPr>
                <w:sz w:val="20"/>
                <w:szCs w:val="20"/>
                <w:color w:val="auto"/>
              </w:rPr>
            </w:pPr>
          </w:p>
        </w:tc>
        <w:tc>
          <w:tcPr>
            <w:tcW w:w="20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DDDDDD"/>
          </w:tcPr>
          <w:p>
            <w:pPr>
              <w:jc w:val="right"/>
              <w:ind w:right="151"/>
              <w:spacing w:after="0"/>
              <w:rPr>
                <w:sz w:val="20"/>
                <w:szCs w:val="20"/>
                <w:color w:val="auto"/>
              </w:rPr>
            </w:pPr>
            <w:r>
              <w:rPr>
                <w:rFonts w:ascii="Arial" w:cs="Arial" w:eastAsia="Arial" w:hAnsi="Arial"/>
                <w:sz w:val="18"/>
                <w:szCs w:val="18"/>
                <w:b w:val="1"/>
                <w:bCs w:val="1"/>
                <w:color w:val="auto"/>
              </w:rPr>
              <w:t>2,321</w:t>
            </w:r>
          </w:p>
        </w:tc>
        <w:tc>
          <w:tcPr>
            <w:tcW w:w="82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rPr>
              <w:t>68.7 %</w:t>
            </w:r>
          </w:p>
        </w:tc>
        <w:tc>
          <w:tcPr>
            <w:tcW w:w="100" w:type="dxa"/>
            <w:vAlign w:val="bottom"/>
            <w:tcBorders>
              <w:top w:val="single" w:sz="8" w:color="DDDDDD"/>
            </w:tcBorders>
            <w:shd w:val="clear" w:color="auto" w:fill="DDDDDD"/>
          </w:tcPr>
          <w:p>
            <w:pPr>
              <w:spacing w:after="0"/>
              <w:rPr>
                <w:sz w:val="20"/>
                <w:szCs w:val="20"/>
                <w:color w:val="auto"/>
              </w:rPr>
            </w:pPr>
          </w:p>
        </w:tc>
        <w:tc>
          <w:tcPr>
            <w:tcW w:w="20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DDDDDD"/>
          </w:tcPr>
          <w:p>
            <w:pPr>
              <w:jc w:val="right"/>
              <w:ind w:right="151"/>
              <w:spacing w:after="0"/>
              <w:rPr>
                <w:sz w:val="20"/>
                <w:szCs w:val="20"/>
                <w:color w:val="auto"/>
              </w:rPr>
            </w:pPr>
            <w:r>
              <w:rPr>
                <w:rFonts w:ascii="Arial" w:cs="Arial" w:eastAsia="Arial" w:hAnsi="Arial"/>
                <w:sz w:val="18"/>
                <w:szCs w:val="18"/>
                <w:color w:val="auto"/>
              </w:rPr>
              <w:t>2,111</w:t>
            </w:r>
          </w:p>
        </w:tc>
        <w:tc>
          <w:tcPr>
            <w:tcW w:w="82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66.3 %</w:t>
            </w:r>
          </w:p>
        </w:tc>
        <w:tc>
          <w:tcPr>
            <w:tcW w:w="0" w:type="dxa"/>
            <w:vAlign w:val="bottom"/>
          </w:tcPr>
          <w:p>
            <w:pPr>
              <w:spacing w:after="0"/>
              <w:rPr>
                <w:sz w:val="1"/>
                <w:szCs w:val="1"/>
                <w:color w:val="auto"/>
              </w:rPr>
            </w:pPr>
          </w:p>
        </w:tc>
      </w:tr>
      <w:tr>
        <w:trPr>
          <w:trHeight w:val="243"/>
        </w:trPr>
        <w:tc>
          <w:tcPr>
            <w:tcW w:w="3440" w:type="dxa"/>
            <w:vAlign w:val="bottom"/>
          </w:tcPr>
          <w:p>
            <w:pPr>
              <w:ind w:left="140"/>
              <w:spacing w:after="0"/>
              <w:rPr>
                <w:sz w:val="20"/>
                <w:szCs w:val="20"/>
                <w:color w:val="auto"/>
              </w:rPr>
            </w:pPr>
            <w:r>
              <w:rPr>
                <w:rFonts w:ascii="Arial" w:cs="Arial" w:eastAsia="Arial" w:hAnsi="Arial"/>
                <w:sz w:val="18"/>
                <w:szCs w:val="18"/>
                <w:color w:val="auto"/>
              </w:rPr>
              <w:t>Acquisition-related costs (d)</w:t>
            </w:r>
          </w:p>
        </w:tc>
        <w:tc>
          <w:tcPr>
            <w:tcW w:w="180" w:type="dxa"/>
            <w:vAlign w:val="bottom"/>
          </w:tcPr>
          <w:p>
            <w:pPr>
              <w:spacing w:after="0"/>
              <w:rPr>
                <w:sz w:val="21"/>
                <w:szCs w:val="21"/>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b w:val="1"/>
                <w:bCs w:val="1"/>
                <w:color w:val="auto"/>
              </w:rPr>
              <w:t>20</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16</w:t>
            </w:r>
          </w:p>
        </w:tc>
        <w:tc>
          <w:tcPr>
            <w:tcW w:w="840" w:type="dxa"/>
            <w:vAlign w:val="bottom"/>
          </w:tcPr>
          <w:p>
            <w:pPr>
              <w:jc w:val="right"/>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b w:val="1"/>
                <w:bCs w:val="1"/>
                <w:color w:val="auto"/>
              </w:rPr>
              <w:t>64</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50</w:t>
            </w:r>
          </w:p>
        </w:tc>
        <w:tc>
          <w:tcPr>
            <w:tcW w:w="82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3440" w:type="dxa"/>
            <w:vAlign w:val="bottom"/>
            <w:shd w:val="clear" w:color="auto" w:fill="DDDDDD"/>
          </w:tcPr>
          <w:p>
            <w:pPr>
              <w:ind w:left="140"/>
              <w:spacing w:after="0"/>
              <w:rPr>
                <w:sz w:val="20"/>
                <w:szCs w:val="20"/>
                <w:color w:val="auto"/>
              </w:rPr>
            </w:pPr>
            <w:r>
              <w:rPr>
                <w:rFonts w:ascii="Arial" w:cs="Arial" w:eastAsia="Arial" w:hAnsi="Arial"/>
                <w:sz w:val="18"/>
                <w:szCs w:val="18"/>
                <w:color w:val="auto"/>
              </w:rPr>
              <w:t>Transformational initiatives (e)</w:t>
            </w:r>
          </w:p>
        </w:tc>
        <w:tc>
          <w:tcPr>
            <w:tcW w:w="180" w:type="dxa"/>
            <w:vAlign w:val="bottom"/>
            <w:shd w:val="clear" w:color="auto" w:fill="DDDDDD"/>
          </w:tcPr>
          <w:p>
            <w:pPr>
              <w:spacing w:after="0"/>
              <w:rPr>
                <w:sz w:val="21"/>
                <w:szCs w:val="21"/>
                <w:color w:val="auto"/>
              </w:rPr>
            </w:pPr>
          </w:p>
        </w:tc>
        <w:tc>
          <w:tcPr>
            <w:tcW w:w="820" w:type="dxa"/>
            <w:vAlign w:val="bottom"/>
            <w:shd w:val="clear" w:color="auto" w:fill="DDDDDD"/>
          </w:tcPr>
          <w:p>
            <w:pPr>
              <w:jc w:val="right"/>
              <w:ind w:right="131"/>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b w:val="1"/>
                <w:bCs w:val="1"/>
                <w:color w:val="auto"/>
              </w:rPr>
              <w:t>— %</w:t>
            </w:r>
          </w:p>
        </w:tc>
        <w:tc>
          <w:tcPr>
            <w:tcW w:w="180" w:type="dxa"/>
            <w:vAlign w:val="bottom"/>
            <w:shd w:val="clear" w:color="auto" w:fill="DDDDDD"/>
          </w:tcPr>
          <w:p>
            <w:pPr>
              <w:spacing w:after="0"/>
              <w:rPr>
                <w:sz w:val="21"/>
                <w:szCs w:val="21"/>
                <w:color w:val="auto"/>
              </w:rPr>
            </w:pPr>
          </w:p>
        </w:tc>
        <w:tc>
          <w:tcPr>
            <w:tcW w:w="840" w:type="dxa"/>
            <w:vAlign w:val="bottom"/>
            <w:shd w:val="clear" w:color="auto" w:fill="DDDDDD"/>
          </w:tcPr>
          <w:p>
            <w:pPr>
              <w:jc w:val="right"/>
              <w:ind w:right="151"/>
              <w:spacing w:after="0"/>
              <w:rPr>
                <w:sz w:val="20"/>
                <w:szCs w:val="20"/>
                <w:color w:val="auto"/>
              </w:rPr>
            </w:pPr>
            <w:r>
              <w:rPr>
                <w:rFonts w:ascii="Arial" w:cs="Arial" w:eastAsia="Arial" w:hAnsi="Arial"/>
                <w:sz w:val="18"/>
                <w:szCs w:val="18"/>
                <w:color w:val="auto"/>
              </w:rPr>
              <w:t>1</w:t>
            </w:r>
          </w:p>
        </w:tc>
        <w:tc>
          <w:tcPr>
            <w:tcW w:w="8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0.1 %</w:t>
            </w: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880" w:type="dxa"/>
            <w:vAlign w:val="bottom"/>
            <w:shd w:val="clear" w:color="auto" w:fill="DDDDDD"/>
          </w:tcPr>
          <w:p>
            <w:pPr>
              <w:jc w:val="right"/>
              <w:ind w:right="151"/>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DDDDDD"/>
          </w:tcPr>
          <w:p>
            <w:pPr>
              <w:jc w:val="right"/>
              <w:ind w:right="100"/>
              <w:spacing w:after="0"/>
              <w:rPr>
                <w:sz w:val="20"/>
                <w:szCs w:val="20"/>
                <w:color w:val="auto"/>
              </w:rPr>
            </w:pPr>
            <w:r>
              <w:rPr>
                <w:rFonts w:ascii="Arial" w:cs="Arial" w:eastAsia="Arial" w:hAnsi="Arial"/>
                <w:sz w:val="18"/>
                <w:szCs w:val="18"/>
                <w:b w:val="1"/>
                <w:bCs w:val="1"/>
                <w:color w:val="auto"/>
              </w:rPr>
              <w:t>— %</w:t>
            </w:r>
          </w:p>
        </w:tc>
        <w:tc>
          <w:tcPr>
            <w:tcW w:w="200" w:type="dxa"/>
            <w:vAlign w:val="bottom"/>
            <w:shd w:val="clear" w:color="auto" w:fill="DDDDDD"/>
          </w:tcPr>
          <w:p>
            <w:pPr>
              <w:spacing w:after="0"/>
              <w:rPr>
                <w:sz w:val="21"/>
                <w:szCs w:val="21"/>
                <w:color w:val="auto"/>
              </w:rPr>
            </w:pPr>
          </w:p>
        </w:tc>
        <w:tc>
          <w:tcPr>
            <w:tcW w:w="880" w:type="dxa"/>
            <w:vAlign w:val="bottom"/>
            <w:shd w:val="clear" w:color="auto" w:fill="DDDDDD"/>
          </w:tcPr>
          <w:p>
            <w:pPr>
              <w:jc w:val="right"/>
              <w:ind w:right="151"/>
              <w:spacing w:after="0"/>
              <w:rPr>
                <w:sz w:val="20"/>
                <w:szCs w:val="20"/>
                <w:color w:val="auto"/>
              </w:rPr>
            </w:pPr>
            <w:r>
              <w:rPr>
                <w:rFonts w:ascii="Arial" w:cs="Arial" w:eastAsia="Arial" w:hAnsi="Arial"/>
                <w:sz w:val="18"/>
                <w:szCs w:val="18"/>
                <w:color w:val="auto"/>
              </w:rPr>
              <w:t>3</w:t>
            </w:r>
          </w:p>
        </w:tc>
        <w:tc>
          <w:tcPr>
            <w:tcW w:w="8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43"/>
        </w:trPr>
        <w:tc>
          <w:tcPr>
            <w:tcW w:w="3440" w:type="dxa"/>
            <w:vAlign w:val="bottom"/>
          </w:tcPr>
          <w:p>
            <w:pPr>
              <w:ind w:left="140"/>
              <w:spacing w:after="0"/>
              <w:rPr>
                <w:sz w:val="20"/>
                <w:szCs w:val="20"/>
                <w:color w:val="auto"/>
              </w:rPr>
            </w:pPr>
            <w:r>
              <w:rPr>
                <w:rFonts w:ascii="Arial" w:cs="Arial" w:eastAsia="Arial" w:hAnsi="Arial"/>
                <w:sz w:val="18"/>
                <w:szCs w:val="18"/>
                <w:color w:val="auto"/>
              </w:rPr>
              <w:t>Intangible impairment</w:t>
            </w:r>
          </w:p>
        </w:tc>
        <w:tc>
          <w:tcPr>
            <w:tcW w:w="180" w:type="dxa"/>
            <w:vAlign w:val="bottom"/>
          </w:tcPr>
          <w:p>
            <w:pPr>
              <w:spacing w:after="0"/>
              <w:rPr>
                <w:sz w:val="21"/>
                <w:szCs w:val="21"/>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 %</w:t>
            </w:r>
          </w:p>
        </w:tc>
        <w:tc>
          <w:tcPr>
            <w:tcW w:w="180" w:type="dxa"/>
            <w:vAlign w:val="bottom"/>
          </w:tcPr>
          <w:p>
            <w:pPr>
              <w:spacing w:after="0"/>
              <w:rPr>
                <w:sz w:val="21"/>
                <w:szCs w:val="21"/>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 %</w:t>
            </w:r>
          </w:p>
        </w:tc>
        <w:tc>
          <w:tcPr>
            <w:tcW w:w="20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23</w:t>
            </w:r>
          </w:p>
        </w:tc>
        <w:tc>
          <w:tcPr>
            <w:tcW w:w="820" w:type="dxa"/>
            <w:vAlign w:val="bottom"/>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37"/>
        </w:trPr>
        <w:tc>
          <w:tcPr>
            <w:tcW w:w="344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Non-GAAP gross profit (b)</w:t>
            </w:r>
          </w:p>
        </w:tc>
        <w:tc>
          <w:tcPr>
            <w:tcW w:w="180" w:type="dxa"/>
            <w:vAlign w:val="bottom"/>
            <w:tcBorders>
              <w:top w:val="single" w:sz="8" w:color="auto"/>
            </w:tcBorders>
            <w:shd w:val="clear" w:color="auto" w:fill="DDDDDD"/>
          </w:tcPr>
          <w:p>
            <w:pPr>
              <w:spacing w:after="0"/>
              <w:rPr>
                <w:sz w:val="20"/>
                <w:szCs w:val="20"/>
                <w:color w:val="auto"/>
              </w:rPr>
            </w:pPr>
          </w:p>
        </w:tc>
        <w:tc>
          <w:tcPr>
            <w:tcW w:w="820" w:type="dxa"/>
            <w:vAlign w:val="bottom"/>
            <w:tcBorders>
              <w:top w:val="single" w:sz="8" w:color="auto"/>
            </w:tcBorders>
            <w:shd w:val="clear" w:color="auto" w:fill="DDDDDD"/>
          </w:tcPr>
          <w:p>
            <w:pPr>
              <w:jc w:val="right"/>
              <w:ind w:right="131"/>
              <w:spacing w:after="0"/>
              <w:rPr>
                <w:sz w:val="20"/>
                <w:szCs w:val="20"/>
                <w:color w:val="auto"/>
              </w:rPr>
            </w:pPr>
            <w:r>
              <w:rPr>
                <w:rFonts w:ascii="Arial" w:cs="Arial" w:eastAsia="Arial" w:hAnsi="Arial"/>
                <w:sz w:val="18"/>
                <w:szCs w:val="18"/>
                <w:b w:val="1"/>
                <w:bCs w:val="1"/>
                <w:color w:val="auto"/>
              </w:rPr>
              <w:t>850</w:t>
            </w:r>
          </w:p>
        </w:tc>
        <w:tc>
          <w:tcPr>
            <w:tcW w:w="8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rPr>
              <w:t>75.3 %</w:t>
            </w:r>
          </w:p>
        </w:tc>
        <w:tc>
          <w:tcPr>
            <w:tcW w:w="100" w:type="dxa"/>
            <w:vAlign w:val="bottom"/>
            <w:tcBorders>
              <w:top w:val="single" w:sz="8" w:color="DDDDDD"/>
            </w:tcBorders>
            <w:shd w:val="clear" w:color="auto" w:fill="DDDDDD"/>
          </w:tcPr>
          <w:p>
            <w:pPr>
              <w:spacing w:after="0"/>
              <w:rPr>
                <w:sz w:val="20"/>
                <w:szCs w:val="20"/>
                <w:color w:val="auto"/>
              </w:rPr>
            </w:pPr>
          </w:p>
        </w:tc>
        <w:tc>
          <w:tcPr>
            <w:tcW w:w="180" w:type="dxa"/>
            <w:vAlign w:val="bottom"/>
            <w:tcBorders>
              <w:top w:val="single" w:sz="8" w:color="auto"/>
            </w:tcBorders>
            <w:shd w:val="clear" w:color="auto" w:fill="DDDDDD"/>
          </w:tcPr>
          <w:p>
            <w:pPr>
              <w:spacing w:after="0"/>
              <w:rPr>
                <w:sz w:val="20"/>
                <w:szCs w:val="20"/>
                <w:color w:val="auto"/>
              </w:rPr>
            </w:pPr>
          </w:p>
        </w:tc>
        <w:tc>
          <w:tcPr>
            <w:tcW w:w="840" w:type="dxa"/>
            <w:vAlign w:val="bottom"/>
            <w:tcBorders>
              <w:top w:val="single" w:sz="8" w:color="auto"/>
            </w:tcBorders>
            <w:shd w:val="clear" w:color="auto" w:fill="DDDDDD"/>
          </w:tcPr>
          <w:p>
            <w:pPr>
              <w:jc w:val="right"/>
              <w:ind w:right="151"/>
              <w:spacing w:after="0"/>
              <w:rPr>
                <w:sz w:val="20"/>
                <w:szCs w:val="20"/>
                <w:color w:val="auto"/>
              </w:rPr>
            </w:pPr>
            <w:r>
              <w:rPr>
                <w:rFonts w:ascii="Arial" w:cs="Arial" w:eastAsia="Arial" w:hAnsi="Arial"/>
                <w:sz w:val="18"/>
                <w:szCs w:val="18"/>
                <w:color w:val="auto"/>
              </w:rPr>
              <w:t>750</w:t>
            </w:r>
          </w:p>
        </w:tc>
        <w:tc>
          <w:tcPr>
            <w:tcW w:w="8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69.2 %</w:t>
            </w:r>
          </w:p>
        </w:tc>
        <w:tc>
          <w:tcPr>
            <w:tcW w:w="80" w:type="dxa"/>
            <w:vAlign w:val="bottom"/>
            <w:tcBorders>
              <w:top w:val="single" w:sz="8" w:color="DDDDDD"/>
            </w:tcBorders>
            <w:shd w:val="clear" w:color="auto" w:fill="DDDDDD"/>
          </w:tcPr>
          <w:p>
            <w:pPr>
              <w:spacing w:after="0"/>
              <w:rPr>
                <w:sz w:val="20"/>
                <w:szCs w:val="20"/>
                <w:color w:val="auto"/>
              </w:rPr>
            </w:pPr>
          </w:p>
        </w:tc>
        <w:tc>
          <w:tcPr>
            <w:tcW w:w="200" w:type="dxa"/>
            <w:vAlign w:val="bottom"/>
            <w:tcBorders>
              <w:top w:val="single" w:sz="8" w:color="auto"/>
            </w:tcBorders>
            <w:shd w:val="clear" w:color="auto" w:fill="DDDDDD"/>
          </w:tcPr>
          <w:p>
            <w:pPr>
              <w:spacing w:after="0"/>
              <w:rPr>
                <w:sz w:val="20"/>
                <w:szCs w:val="20"/>
                <w:color w:val="auto"/>
              </w:rPr>
            </w:pPr>
          </w:p>
        </w:tc>
        <w:tc>
          <w:tcPr>
            <w:tcW w:w="880" w:type="dxa"/>
            <w:vAlign w:val="bottom"/>
            <w:tcBorders>
              <w:top w:val="single" w:sz="8" w:color="auto"/>
            </w:tcBorders>
            <w:shd w:val="clear" w:color="auto" w:fill="DDDDDD"/>
          </w:tcPr>
          <w:p>
            <w:pPr>
              <w:jc w:val="right"/>
              <w:ind w:right="151"/>
              <w:spacing w:after="0"/>
              <w:rPr>
                <w:sz w:val="20"/>
                <w:szCs w:val="20"/>
                <w:color w:val="auto"/>
              </w:rPr>
            </w:pPr>
            <w:r>
              <w:rPr>
                <w:rFonts w:ascii="Arial" w:cs="Arial" w:eastAsia="Arial" w:hAnsi="Arial"/>
                <w:sz w:val="18"/>
                <w:szCs w:val="18"/>
                <w:b w:val="1"/>
                <w:bCs w:val="1"/>
                <w:color w:val="auto"/>
              </w:rPr>
              <w:t>2,385</w:t>
            </w:r>
          </w:p>
        </w:tc>
        <w:tc>
          <w:tcPr>
            <w:tcW w:w="82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8"/>
                <w:szCs w:val="18"/>
                <w:b w:val="1"/>
                <w:bCs w:val="1"/>
                <w:color w:val="auto"/>
              </w:rPr>
              <w:t>70.6 %</w:t>
            </w:r>
          </w:p>
        </w:tc>
        <w:tc>
          <w:tcPr>
            <w:tcW w:w="100" w:type="dxa"/>
            <w:vAlign w:val="bottom"/>
            <w:tcBorders>
              <w:top w:val="single" w:sz="8" w:color="DDDDDD"/>
            </w:tcBorders>
            <w:shd w:val="clear" w:color="auto" w:fill="DDDDDD"/>
          </w:tcPr>
          <w:p>
            <w:pPr>
              <w:spacing w:after="0"/>
              <w:rPr>
                <w:sz w:val="20"/>
                <w:szCs w:val="20"/>
                <w:color w:val="auto"/>
              </w:rPr>
            </w:pPr>
          </w:p>
        </w:tc>
        <w:tc>
          <w:tcPr>
            <w:tcW w:w="200" w:type="dxa"/>
            <w:vAlign w:val="bottom"/>
            <w:tcBorders>
              <w:top w:val="single" w:sz="8" w:color="auto"/>
            </w:tcBorders>
            <w:shd w:val="clear" w:color="auto" w:fill="DDDDDD"/>
          </w:tcPr>
          <w:p>
            <w:pPr>
              <w:spacing w:after="0"/>
              <w:rPr>
                <w:sz w:val="20"/>
                <w:szCs w:val="20"/>
                <w:color w:val="auto"/>
              </w:rPr>
            </w:pPr>
          </w:p>
        </w:tc>
        <w:tc>
          <w:tcPr>
            <w:tcW w:w="880" w:type="dxa"/>
            <w:vAlign w:val="bottom"/>
            <w:tcBorders>
              <w:top w:val="single" w:sz="8" w:color="auto"/>
            </w:tcBorders>
            <w:shd w:val="clear" w:color="auto" w:fill="DDDDDD"/>
          </w:tcPr>
          <w:p>
            <w:pPr>
              <w:jc w:val="right"/>
              <w:ind w:right="151"/>
              <w:spacing w:after="0"/>
              <w:rPr>
                <w:sz w:val="20"/>
                <w:szCs w:val="20"/>
                <w:color w:val="auto"/>
              </w:rPr>
            </w:pPr>
            <w:r>
              <w:rPr>
                <w:rFonts w:ascii="Arial" w:cs="Arial" w:eastAsia="Arial" w:hAnsi="Arial"/>
                <w:sz w:val="18"/>
                <w:szCs w:val="18"/>
                <w:color w:val="auto"/>
              </w:rPr>
              <w:t>2,187</w:t>
            </w:r>
          </w:p>
        </w:tc>
        <w:tc>
          <w:tcPr>
            <w:tcW w:w="82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68.7 %</w:t>
            </w:r>
          </w:p>
        </w:tc>
        <w:tc>
          <w:tcPr>
            <w:tcW w:w="0" w:type="dxa"/>
            <w:vAlign w:val="bottom"/>
          </w:tcPr>
          <w:p>
            <w:pPr>
              <w:spacing w:after="0"/>
              <w:rPr>
                <w:sz w:val="1"/>
                <w:szCs w:val="1"/>
                <w:color w:val="auto"/>
              </w:rPr>
            </w:pPr>
          </w:p>
        </w:tc>
      </w:tr>
      <w:tr>
        <w:trPr>
          <w:trHeight w:val="243"/>
        </w:trPr>
        <w:tc>
          <w:tcPr>
            <w:tcW w:w="3440" w:type="dxa"/>
            <w:vAlign w:val="bottom"/>
          </w:tcPr>
          <w:p>
            <w:pPr>
              <w:ind w:left="140"/>
              <w:spacing w:after="0"/>
              <w:rPr>
                <w:sz w:val="20"/>
                <w:szCs w:val="20"/>
                <w:color w:val="auto"/>
              </w:rPr>
            </w:pPr>
            <w:r>
              <w:rPr>
                <w:rFonts w:ascii="Arial" w:cs="Arial" w:eastAsia="Arial" w:hAnsi="Arial"/>
                <w:sz w:val="18"/>
                <w:szCs w:val="18"/>
                <w:color w:val="auto"/>
              </w:rPr>
              <w:t>Tariff refunds (i)</w:t>
            </w:r>
          </w:p>
        </w:tc>
        <w:tc>
          <w:tcPr>
            <w:tcW w:w="180" w:type="dxa"/>
            <w:vAlign w:val="bottom"/>
          </w:tcPr>
          <w:p>
            <w:pPr>
              <w:spacing w:after="0"/>
              <w:rPr>
                <w:sz w:val="21"/>
                <w:szCs w:val="21"/>
                <w:color w:val="auto"/>
              </w:rPr>
            </w:pPr>
          </w:p>
        </w:tc>
        <w:tc>
          <w:tcPr>
            <w:tcW w:w="820" w:type="dxa"/>
            <w:vAlign w:val="bottom"/>
          </w:tcPr>
          <w:p>
            <w:pPr>
              <w:jc w:val="right"/>
              <w:ind w:right="91"/>
              <w:spacing w:after="0"/>
              <w:rPr>
                <w:sz w:val="20"/>
                <w:szCs w:val="20"/>
                <w:color w:val="auto"/>
              </w:rPr>
            </w:pPr>
            <w:r>
              <w:rPr>
                <w:rFonts w:ascii="Arial" w:cs="Arial" w:eastAsia="Arial" w:hAnsi="Arial"/>
                <w:sz w:val="18"/>
                <w:szCs w:val="18"/>
                <w:b w:val="1"/>
                <w:bCs w:val="1"/>
                <w:color w:val="auto"/>
              </w:rPr>
              <w:t>(41)</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1"/>
                <w:szCs w:val="21"/>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b w:val="1"/>
                <w:bCs w:val="1"/>
                <w:color w:val="auto"/>
              </w:rPr>
              <w:t>(41)</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69"/>
        </w:trPr>
        <w:tc>
          <w:tcPr>
            <w:tcW w:w="3440" w:type="dxa"/>
            <w:vAlign w:val="bottom"/>
            <w:tcBorders>
              <w:top w:val="single" w:sz="8" w:color="DDDDDD"/>
            </w:tcBorders>
            <w:shd w:val="clear" w:color="auto" w:fill="DDDDDD"/>
          </w:tcPr>
          <w:p>
            <w:pPr>
              <w:ind w:left="20"/>
              <w:spacing w:after="0" w:line="169" w:lineRule="exact"/>
              <w:rPr>
                <w:sz w:val="20"/>
                <w:szCs w:val="20"/>
                <w:color w:val="auto"/>
              </w:rPr>
            </w:pPr>
            <w:r>
              <w:rPr>
                <w:rFonts w:ascii="Arial" w:cs="Arial" w:eastAsia="Arial" w:hAnsi="Arial"/>
                <w:sz w:val="18"/>
                <w:szCs w:val="18"/>
                <w:color w:val="auto"/>
              </w:rPr>
              <w:t>Non-GAAP gross profit, excluding tariff</w:t>
            </w:r>
          </w:p>
        </w:tc>
        <w:tc>
          <w:tcPr>
            <w:tcW w:w="18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vMerge w:val="restart"/>
            <w:shd w:val="clear" w:color="auto" w:fill="DDDDDD"/>
          </w:tcPr>
          <w:p>
            <w:pPr>
              <w:jc w:val="right"/>
              <w:ind w:right="131"/>
              <w:spacing w:after="0"/>
              <w:rPr>
                <w:sz w:val="20"/>
                <w:szCs w:val="20"/>
                <w:color w:val="auto"/>
              </w:rPr>
            </w:pPr>
            <w:r>
              <w:rPr>
                <w:rFonts w:ascii="Arial" w:cs="Arial" w:eastAsia="Arial" w:hAnsi="Arial"/>
                <w:sz w:val="18"/>
                <w:szCs w:val="18"/>
                <w:b w:val="1"/>
                <w:bCs w:val="1"/>
                <w:color w:val="auto"/>
              </w:rPr>
              <w:t>809</w:t>
            </w:r>
          </w:p>
        </w:tc>
        <w:tc>
          <w:tcPr>
            <w:tcW w:w="84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8"/>
                <w:szCs w:val="18"/>
                <w:b w:val="1"/>
                <w:bCs w:val="1"/>
                <w:color w:val="auto"/>
              </w:rPr>
              <w:t>69.4 %</w:t>
            </w:r>
          </w:p>
        </w:tc>
        <w:tc>
          <w:tcPr>
            <w:tcW w:w="100" w:type="dxa"/>
            <w:vAlign w:val="bottom"/>
            <w:tcBorders>
              <w:top w:val="single" w:sz="8" w:color="DDDDDD"/>
            </w:tcBorders>
            <w:shd w:val="clear" w:color="auto" w:fill="DDDDDD"/>
          </w:tcPr>
          <w:p>
            <w:pPr>
              <w:spacing w:after="0"/>
              <w:rPr>
                <w:sz w:val="14"/>
                <w:szCs w:val="14"/>
                <w:color w:val="auto"/>
              </w:rPr>
            </w:pPr>
          </w:p>
        </w:tc>
        <w:tc>
          <w:tcPr>
            <w:tcW w:w="18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shd w:val="clear" w:color="auto" w:fill="DDDDDD"/>
          </w:tcPr>
          <w:p>
            <w:pPr>
              <w:jc w:val="right"/>
              <w:ind w:right="151"/>
              <w:spacing w:after="0"/>
              <w:rPr>
                <w:sz w:val="20"/>
                <w:szCs w:val="20"/>
                <w:color w:val="auto"/>
              </w:rPr>
            </w:pPr>
            <w:r>
              <w:rPr>
                <w:rFonts w:ascii="Arial" w:cs="Arial" w:eastAsia="Arial" w:hAnsi="Arial"/>
                <w:sz w:val="18"/>
                <w:szCs w:val="18"/>
                <w:color w:val="auto"/>
              </w:rPr>
              <w:t>750</w:t>
            </w:r>
          </w:p>
        </w:tc>
        <w:tc>
          <w:tcPr>
            <w:tcW w:w="84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8"/>
                <w:szCs w:val="18"/>
                <w:color w:val="auto"/>
              </w:rPr>
              <w:t>69.2 %</w:t>
            </w:r>
          </w:p>
        </w:tc>
        <w:tc>
          <w:tcPr>
            <w:tcW w:w="80" w:type="dxa"/>
            <w:vAlign w:val="bottom"/>
            <w:tcBorders>
              <w:top w:val="single" w:sz="8" w:color="DDDDDD"/>
            </w:tcBorders>
            <w:shd w:val="clear" w:color="auto" w:fill="DDDDDD"/>
          </w:tcPr>
          <w:p>
            <w:pPr>
              <w:spacing w:after="0"/>
              <w:rPr>
                <w:sz w:val="14"/>
                <w:szCs w:val="14"/>
                <w:color w:val="auto"/>
              </w:rPr>
            </w:pPr>
          </w:p>
        </w:tc>
        <w:tc>
          <w:tcPr>
            <w:tcW w:w="20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vMerge w:val="restart"/>
            <w:shd w:val="clear" w:color="auto" w:fill="DDDDDD"/>
          </w:tcPr>
          <w:p>
            <w:pPr>
              <w:jc w:val="right"/>
              <w:ind w:right="151"/>
              <w:spacing w:after="0"/>
              <w:rPr>
                <w:sz w:val="20"/>
                <w:szCs w:val="20"/>
                <w:color w:val="auto"/>
              </w:rPr>
            </w:pPr>
            <w:r>
              <w:rPr>
                <w:rFonts w:ascii="Arial" w:cs="Arial" w:eastAsia="Arial" w:hAnsi="Arial"/>
                <w:sz w:val="18"/>
                <w:szCs w:val="18"/>
                <w:b w:val="1"/>
                <w:bCs w:val="1"/>
                <w:color w:val="auto"/>
              </w:rPr>
              <w:t>2,344</w:t>
            </w:r>
          </w:p>
        </w:tc>
        <w:tc>
          <w:tcPr>
            <w:tcW w:w="82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8"/>
                <w:szCs w:val="18"/>
                <w:b w:val="1"/>
                <w:bCs w:val="1"/>
                <w:color w:val="auto"/>
              </w:rPr>
              <w:t>68.6 %</w:t>
            </w:r>
          </w:p>
        </w:tc>
        <w:tc>
          <w:tcPr>
            <w:tcW w:w="100" w:type="dxa"/>
            <w:vAlign w:val="bottom"/>
            <w:tcBorders>
              <w:top w:val="single" w:sz="8" w:color="DDDDDD"/>
            </w:tcBorders>
            <w:shd w:val="clear" w:color="auto" w:fill="DDDDDD"/>
          </w:tcPr>
          <w:p>
            <w:pPr>
              <w:spacing w:after="0"/>
              <w:rPr>
                <w:sz w:val="14"/>
                <w:szCs w:val="14"/>
                <w:color w:val="auto"/>
              </w:rPr>
            </w:pPr>
          </w:p>
        </w:tc>
        <w:tc>
          <w:tcPr>
            <w:tcW w:w="20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shd w:val="clear" w:color="auto" w:fill="DDDDDD"/>
          </w:tcPr>
          <w:p>
            <w:pPr>
              <w:jc w:val="right"/>
              <w:ind w:right="151"/>
              <w:spacing w:after="0"/>
              <w:rPr>
                <w:sz w:val="20"/>
                <w:szCs w:val="20"/>
                <w:color w:val="auto"/>
              </w:rPr>
            </w:pPr>
            <w:r>
              <w:rPr>
                <w:rFonts w:ascii="Arial" w:cs="Arial" w:eastAsia="Arial" w:hAnsi="Arial"/>
                <w:sz w:val="18"/>
                <w:szCs w:val="18"/>
                <w:color w:val="auto"/>
              </w:rPr>
              <w:t>2,187</w:t>
            </w:r>
          </w:p>
        </w:tc>
        <w:tc>
          <w:tcPr>
            <w:tcW w:w="82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8"/>
                <w:szCs w:val="18"/>
                <w:color w:val="auto"/>
              </w:rPr>
              <w:t>68.7 %</w:t>
            </w:r>
          </w:p>
        </w:tc>
        <w:tc>
          <w:tcPr>
            <w:tcW w:w="0" w:type="dxa"/>
            <w:vAlign w:val="bottom"/>
          </w:tcPr>
          <w:p>
            <w:pPr>
              <w:spacing w:after="0"/>
              <w:rPr>
                <w:sz w:val="1"/>
                <w:szCs w:val="1"/>
                <w:color w:val="auto"/>
              </w:rPr>
            </w:pPr>
          </w:p>
        </w:tc>
      </w:tr>
      <w:tr>
        <w:trPr>
          <w:trHeight w:val="236"/>
        </w:trPr>
        <w:tc>
          <w:tcPr>
            <w:tcW w:w="34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8"/>
                <w:szCs w:val="18"/>
                <w:color w:val="auto"/>
              </w:rPr>
              <w:t>refunds (b)</w:t>
            </w:r>
          </w:p>
        </w:tc>
        <w:tc>
          <w:tcPr>
            <w:tcW w:w="180" w:type="dxa"/>
            <w:vAlign w:val="bottom"/>
            <w:tcBorders>
              <w:bottom w:val="single" w:sz="8" w:color="auto"/>
            </w:tcBorders>
            <w:vMerge w:val="continue"/>
            <w:shd w:val="clear" w:color="auto" w:fill="DDDDDD"/>
          </w:tcPr>
          <w:p>
            <w:pPr>
              <w:spacing w:after="0"/>
              <w:rPr>
                <w:sz w:val="20"/>
                <w:szCs w:val="20"/>
                <w:color w:val="auto"/>
              </w:rPr>
            </w:pPr>
          </w:p>
        </w:tc>
        <w:tc>
          <w:tcPr>
            <w:tcW w:w="820" w:type="dxa"/>
            <w:vAlign w:val="bottom"/>
            <w:tcBorders>
              <w:bottom w:val="single" w:sz="8" w:color="auto"/>
            </w:tcBorders>
            <w:vMerge w:val="continue"/>
            <w:shd w:val="clear" w:color="auto" w:fill="DDDDDD"/>
          </w:tcPr>
          <w:p>
            <w:pPr>
              <w:spacing w:after="0"/>
              <w:rPr>
                <w:sz w:val="20"/>
                <w:szCs w:val="20"/>
                <w:color w:val="auto"/>
              </w:rPr>
            </w:pPr>
          </w:p>
        </w:tc>
        <w:tc>
          <w:tcPr>
            <w:tcW w:w="840" w:type="dxa"/>
            <w:vAlign w:val="bottom"/>
            <w:tcBorders>
              <w:bottom w:val="single" w:sz="8" w:color="auto"/>
            </w:tcBorders>
            <w:vMerge w:val="continue"/>
            <w:shd w:val="clear" w:color="auto" w:fill="DDDDDD"/>
          </w:tcPr>
          <w:p>
            <w:pPr>
              <w:spacing w:after="0"/>
              <w:rPr>
                <w:sz w:val="20"/>
                <w:szCs w:val="20"/>
                <w:color w:val="auto"/>
              </w:rPr>
            </w:pPr>
          </w:p>
        </w:tc>
        <w:tc>
          <w:tcPr>
            <w:tcW w:w="100" w:type="dxa"/>
            <w:vAlign w:val="bottom"/>
            <w:tcBorders>
              <w:bottom w:val="single" w:sz="8" w:color="DDDDDD"/>
            </w:tcBorders>
            <w:shd w:val="clear" w:color="auto" w:fill="DDDDDD"/>
          </w:tcPr>
          <w:p>
            <w:pPr>
              <w:spacing w:after="0"/>
              <w:rPr>
                <w:sz w:val="20"/>
                <w:szCs w:val="20"/>
                <w:color w:val="auto"/>
              </w:rPr>
            </w:pPr>
          </w:p>
        </w:tc>
        <w:tc>
          <w:tcPr>
            <w:tcW w:w="180" w:type="dxa"/>
            <w:vAlign w:val="bottom"/>
            <w:tcBorders>
              <w:bottom w:val="single" w:sz="8" w:color="auto"/>
            </w:tcBorders>
            <w:vMerge w:val="continue"/>
            <w:shd w:val="clear" w:color="auto" w:fill="DDDDDD"/>
          </w:tcPr>
          <w:p>
            <w:pPr>
              <w:spacing w:after="0"/>
              <w:rPr>
                <w:sz w:val="20"/>
                <w:szCs w:val="20"/>
                <w:color w:val="auto"/>
              </w:rPr>
            </w:pPr>
          </w:p>
        </w:tc>
        <w:tc>
          <w:tcPr>
            <w:tcW w:w="840" w:type="dxa"/>
            <w:vAlign w:val="bottom"/>
            <w:tcBorders>
              <w:bottom w:val="single" w:sz="8" w:color="auto"/>
            </w:tcBorders>
            <w:vMerge w:val="continue"/>
            <w:shd w:val="clear" w:color="auto" w:fill="DDDDDD"/>
          </w:tcPr>
          <w:p>
            <w:pPr>
              <w:spacing w:after="0"/>
              <w:rPr>
                <w:sz w:val="20"/>
                <w:szCs w:val="20"/>
                <w:color w:val="auto"/>
              </w:rPr>
            </w:pPr>
          </w:p>
        </w:tc>
        <w:tc>
          <w:tcPr>
            <w:tcW w:w="840" w:type="dxa"/>
            <w:vAlign w:val="bottom"/>
            <w:tcBorders>
              <w:bottom w:val="single" w:sz="8" w:color="auto"/>
            </w:tcBorders>
            <w:vMerge w:val="continue"/>
            <w:shd w:val="clear" w:color="auto" w:fill="DDDDDD"/>
          </w:tcPr>
          <w:p>
            <w:pPr>
              <w:spacing w:after="0"/>
              <w:rPr>
                <w:sz w:val="20"/>
                <w:szCs w:val="20"/>
                <w:color w:val="auto"/>
              </w:rPr>
            </w:pPr>
          </w:p>
        </w:tc>
        <w:tc>
          <w:tcPr>
            <w:tcW w:w="80" w:type="dxa"/>
            <w:vAlign w:val="bottom"/>
            <w:tcBorders>
              <w:bottom w:val="single" w:sz="8" w:color="DDDDDD"/>
            </w:tcBorders>
            <w:shd w:val="clear" w:color="auto" w:fill="DDDDDD"/>
          </w:tcPr>
          <w:p>
            <w:pPr>
              <w:spacing w:after="0"/>
              <w:rPr>
                <w:sz w:val="20"/>
                <w:szCs w:val="20"/>
                <w:color w:val="auto"/>
              </w:rPr>
            </w:pPr>
          </w:p>
        </w:tc>
        <w:tc>
          <w:tcPr>
            <w:tcW w:w="200" w:type="dxa"/>
            <w:vAlign w:val="bottom"/>
            <w:tcBorders>
              <w:bottom w:val="single" w:sz="8" w:color="auto"/>
            </w:tcBorders>
            <w:vMerge w:val="continue"/>
            <w:shd w:val="clear" w:color="auto" w:fill="DDDDDD"/>
          </w:tcPr>
          <w:p>
            <w:pPr>
              <w:spacing w:after="0"/>
              <w:rPr>
                <w:sz w:val="20"/>
                <w:szCs w:val="20"/>
                <w:color w:val="auto"/>
              </w:rPr>
            </w:pPr>
          </w:p>
        </w:tc>
        <w:tc>
          <w:tcPr>
            <w:tcW w:w="880" w:type="dxa"/>
            <w:vAlign w:val="bottom"/>
            <w:tcBorders>
              <w:bottom w:val="single" w:sz="8" w:color="auto"/>
            </w:tcBorders>
            <w:vMerge w:val="continue"/>
            <w:shd w:val="clear" w:color="auto" w:fill="DDDDDD"/>
          </w:tcPr>
          <w:p>
            <w:pPr>
              <w:spacing w:after="0"/>
              <w:rPr>
                <w:sz w:val="20"/>
                <w:szCs w:val="20"/>
                <w:color w:val="auto"/>
              </w:rPr>
            </w:pPr>
          </w:p>
        </w:tc>
        <w:tc>
          <w:tcPr>
            <w:tcW w:w="820" w:type="dxa"/>
            <w:vAlign w:val="bottom"/>
            <w:tcBorders>
              <w:bottom w:val="single" w:sz="8" w:color="auto"/>
            </w:tcBorders>
            <w:vMerge w:val="continue"/>
            <w:shd w:val="clear" w:color="auto" w:fill="DDDDDD"/>
          </w:tcPr>
          <w:p>
            <w:pPr>
              <w:spacing w:after="0"/>
              <w:rPr>
                <w:sz w:val="20"/>
                <w:szCs w:val="20"/>
                <w:color w:val="auto"/>
              </w:rPr>
            </w:pPr>
          </w:p>
        </w:tc>
        <w:tc>
          <w:tcPr>
            <w:tcW w:w="100" w:type="dxa"/>
            <w:vAlign w:val="bottom"/>
            <w:tcBorders>
              <w:bottom w:val="single" w:sz="8" w:color="DDDDDD"/>
            </w:tcBorders>
            <w:shd w:val="clear" w:color="auto" w:fill="DDDDDD"/>
          </w:tcPr>
          <w:p>
            <w:pPr>
              <w:spacing w:after="0"/>
              <w:rPr>
                <w:sz w:val="20"/>
                <w:szCs w:val="20"/>
                <w:color w:val="auto"/>
              </w:rPr>
            </w:pPr>
          </w:p>
        </w:tc>
        <w:tc>
          <w:tcPr>
            <w:tcW w:w="200" w:type="dxa"/>
            <w:vAlign w:val="bottom"/>
            <w:tcBorders>
              <w:bottom w:val="single" w:sz="8" w:color="auto"/>
            </w:tcBorders>
            <w:vMerge w:val="continue"/>
            <w:shd w:val="clear" w:color="auto" w:fill="DDDDDD"/>
          </w:tcPr>
          <w:p>
            <w:pPr>
              <w:spacing w:after="0"/>
              <w:rPr>
                <w:sz w:val="20"/>
                <w:szCs w:val="20"/>
                <w:color w:val="auto"/>
              </w:rPr>
            </w:pPr>
          </w:p>
        </w:tc>
        <w:tc>
          <w:tcPr>
            <w:tcW w:w="880" w:type="dxa"/>
            <w:vAlign w:val="bottom"/>
            <w:tcBorders>
              <w:bottom w:val="single" w:sz="8" w:color="auto"/>
            </w:tcBorders>
            <w:vMerge w:val="continue"/>
            <w:shd w:val="clear" w:color="auto" w:fill="DDDDDD"/>
          </w:tcPr>
          <w:p>
            <w:pPr>
              <w:spacing w:after="0"/>
              <w:rPr>
                <w:sz w:val="20"/>
                <w:szCs w:val="20"/>
                <w:color w:val="auto"/>
              </w:rPr>
            </w:pPr>
          </w:p>
        </w:tc>
        <w:tc>
          <w:tcPr>
            <w:tcW w:w="820" w:type="dxa"/>
            <w:vAlign w:val="bottom"/>
            <w:tcBorders>
              <w:bottom w:val="single" w:sz="8" w:color="auto"/>
            </w:tcBorders>
            <w:vMerge w:val="continue"/>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DDDDDD"/>
            </w:tcBorders>
          </w:tcPr>
          <w:p>
            <w:pPr>
              <w:spacing w:after="0" w:line="20" w:lineRule="exact"/>
              <w:rPr>
                <w:sz w:val="1"/>
                <w:szCs w:val="1"/>
                <w:color w:val="auto"/>
              </w:rPr>
            </w:pPr>
          </w:p>
        </w:tc>
        <w:tc>
          <w:tcPr>
            <w:tcW w:w="180" w:type="dxa"/>
            <w:vAlign w:val="bottom"/>
            <w:tcBorders>
              <w:top w:val="single" w:sz="8" w:color="DDDDDD"/>
              <w:bottom w:val="single" w:sz="8" w:color="auto"/>
            </w:tcBorders>
          </w:tcPr>
          <w:p>
            <w:pPr>
              <w:spacing w:after="0" w:line="20" w:lineRule="exact"/>
              <w:rPr>
                <w:sz w:val="1"/>
                <w:szCs w:val="1"/>
                <w:color w:val="auto"/>
              </w:rPr>
            </w:pPr>
          </w:p>
        </w:tc>
        <w:tc>
          <w:tcPr>
            <w:tcW w:w="820" w:type="dxa"/>
            <w:vAlign w:val="bottom"/>
            <w:tcBorders>
              <w:top w:val="single" w:sz="8" w:color="DDDDDD"/>
              <w:bottom w:val="single" w:sz="8" w:color="auto"/>
            </w:tcBorders>
          </w:tcPr>
          <w:p>
            <w:pPr>
              <w:spacing w:after="0" w:line="20" w:lineRule="exact"/>
              <w:rPr>
                <w:sz w:val="1"/>
                <w:szCs w:val="1"/>
                <w:color w:val="auto"/>
              </w:rPr>
            </w:pPr>
          </w:p>
        </w:tc>
        <w:tc>
          <w:tcPr>
            <w:tcW w:w="8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80" w:type="dxa"/>
            <w:vAlign w:val="bottom"/>
            <w:tcBorders>
              <w:top w:val="single" w:sz="8" w:color="DDDDDD"/>
              <w:bottom w:val="single" w:sz="8" w:color="auto"/>
            </w:tcBorders>
          </w:tcPr>
          <w:p>
            <w:pPr>
              <w:spacing w:after="0" w:line="20" w:lineRule="exact"/>
              <w:rPr>
                <w:sz w:val="1"/>
                <w:szCs w:val="1"/>
                <w:color w:val="auto"/>
              </w:rPr>
            </w:pPr>
          </w:p>
        </w:tc>
        <w:tc>
          <w:tcPr>
            <w:tcW w:w="840" w:type="dxa"/>
            <w:vAlign w:val="bottom"/>
            <w:tcBorders>
              <w:top w:val="single" w:sz="8" w:color="DDDDDD"/>
              <w:bottom w:val="single" w:sz="8" w:color="auto"/>
            </w:tcBorders>
          </w:tcPr>
          <w:p>
            <w:pPr>
              <w:spacing w:after="0" w:line="20" w:lineRule="exact"/>
              <w:rPr>
                <w:sz w:val="1"/>
                <w:szCs w:val="1"/>
                <w:color w:val="auto"/>
              </w:rPr>
            </w:pPr>
          </w:p>
        </w:tc>
        <w:tc>
          <w:tcPr>
            <w:tcW w:w="84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00" w:type="dxa"/>
            <w:vAlign w:val="bottom"/>
            <w:tcBorders>
              <w:top w:val="single" w:sz="8" w:color="DDDDDD"/>
              <w:bottom w:val="single" w:sz="8" w:color="auto"/>
            </w:tcBorders>
          </w:tcPr>
          <w:p>
            <w:pPr>
              <w:spacing w:after="0" w:line="20" w:lineRule="exact"/>
              <w:rPr>
                <w:sz w:val="1"/>
                <w:szCs w:val="1"/>
                <w:color w:val="auto"/>
              </w:rPr>
            </w:pPr>
          </w:p>
        </w:tc>
        <w:tc>
          <w:tcPr>
            <w:tcW w:w="880" w:type="dxa"/>
            <w:vAlign w:val="bottom"/>
            <w:tcBorders>
              <w:top w:val="single" w:sz="8" w:color="DDDDDD"/>
              <w:bottom w:val="single" w:sz="8" w:color="auto"/>
            </w:tcBorders>
          </w:tcPr>
          <w:p>
            <w:pPr>
              <w:spacing w:after="0" w:line="20" w:lineRule="exact"/>
              <w:rPr>
                <w:sz w:val="1"/>
                <w:szCs w:val="1"/>
                <w:color w:val="auto"/>
              </w:rPr>
            </w:pPr>
          </w:p>
        </w:tc>
        <w:tc>
          <w:tcPr>
            <w:tcW w:w="82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00" w:type="dxa"/>
            <w:vAlign w:val="bottom"/>
            <w:tcBorders>
              <w:top w:val="single" w:sz="8" w:color="DDDDDD"/>
              <w:bottom w:val="single" w:sz="8" w:color="auto"/>
            </w:tcBorders>
          </w:tcPr>
          <w:p>
            <w:pPr>
              <w:spacing w:after="0" w:line="20" w:lineRule="exact"/>
              <w:rPr>
                <w:sz w:val="1"/>
                <w:szCs w:val="1"/>
                <w:color w:val="auto"/>
              </w:rPr>
            </w:pPr>
          </w:p>
        </w:tc>
        <w:tc>
          <w:tcPr>
            <w:tcW w:w="880" w:type="dxa"/>
            <w:vAlign w:val="bottom"/>
            <w:tcBorders>
              <w:top w:val="single" w:sz="8" w:color="DDDDDD"/>
              <w:bottom w:val="single" w:sz="8" w:color="auto"/>
            </w:tcBorders>
          </w:tcPr>
          <w:p>
            <w:pPr>
              <w:spacing w:after="0" w:line="20" w:lineRule="exact"/>
              <w:rPr>
                <w:sz w:val="1"/>
                <w:szCs w:val="1"/>
                <w:color w:val="auto"/>
              </w:rPr>
            </w:pPr>
          </w:p>
        </w:tc>
        <w:tc>
          <w:tcPr>
            <w:tcW w:w="82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DDDDDD"/>
          </w:tcPr>
          <w:p>
            <w:pPr>
              <w:ind w:left="20"/>
              <w:spacing w:after="0"/>
              <w:rPr>
                <w:sz w:val="20"/>
                <w:szCs w:val="20"/>
                <w:color w:val="auto"/>
              </w:rPr>
            </w:pPr>
            <w:r>
              <w:rPr>
                <w:rFonts w:ascii="Arial" w:cs="Arial" w:eastAsia="Arial" w:hAnsi="Arial"/>
                <w:sz w:val="18"/>
                <w:szCs w:val="18"/>
                <w:b w:val="1"/>
                <w:bCs w:val="1"/>
                <w:color w:val="auto"/>
              </w:rPr>
              <w:t>GAAP operating profit</w:t>
            </w: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DDDDDD"/>
          </w:tcPr>
          <w:p>
            <w:pPr>
              <w:jc w:val="right"/>
              <w:ind w:right="131"/>
              <w:spacing w:after="0"/>
              <w:rPr>
                <w:sz w:val="20"/>
                <w:szCs w:val="20"/>
                <w:color w:val="auto"/>
              </w:rPr>
            </w:pPr>
            <w:r>
              <w:rPr>
                <w:rFonts w:ascii="Arial" w:cs="Arial" w:eastAsia="Arial" w:hAnsi="Arial"/>
                <w:sz w:val="18"/>
                <w:szCs w:val="18"/>
                <w:b w:val="1"/>
                <w:bCs w:val="1"/>
                <w:color w:val="auto"/>
              </w:rPr>
              <w:t>305</w:t>
            </w:r>
          </w:p>
        </w:tc>
        <w:tc>
          <w:tcPr>
            <w:tcW w:w="84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27.0 %</w:t>
            </w:r>
          </w:p>
        </w:tc>
        <w:tc>
          <w:tcPr>
            <w:tcW w:w="100" w:type="dxa"/>
            <w:vAlign w:val="bottom"/>
            <w:shd w:val="clear" w:color="auto" w:fill="DDDDDD"/>
          </w:tcPr>
          <w:p>
            <w:pPr>
              <w:spacing w:after="0"/>
              <w:rPr>
                <w:sz w:val="21"/>
                <w:szCs w:val="21"/>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DDDDD"/>
          </w:tcPr>
          <w:p>
            <w:pPr>
              <w:jc w:val="right"/>
              <w:ind w:right="151"/>
              <w:spacing w:after="0"/>
              <w:rPr>
                <w:sz w:val="20"/>
                <w:szCs w:val="20"/>
                <w:color w:val="auto"/>
              </w:rPr>
            </w:pPr>
            <w:r>
              <w:rPr>
                <w:rFonts w:ascii="Arial" w:cs="Arial" w:eastAsia="Arial" w:hAnsi="Arial"/>
                <w:sz w:val="18"/>
                <w:szCs w:val="18"/>
                <w:color w:val="auto"/>
              </w:rPr>
              <w:t>227</w:t>
            </w:r>
          </w:p>
        </w:tc>
        <w:tc>
          <w:tcPr>
            <w:tcW w:w="8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DDDDDD"/>
          </w:tcPr>
          <w:p>
            <w:pPr>
              <w:jc w:val="right"/>
              <w:ind w:right="151"/>
              <w:spacing w:after="0"/>
              <w:rPr>
                <w:sz w:val="20"/>
                <w:szCs w:val="20"/>
                <w:color w:val="auto"/>
              </w:rPr>
            </w:pPr>
            <w:r>
              <w:rPr>
                <w:rFonts w:ascii="Arial" w:cs="Arial" w:eastAsia="Arial" w:hAnsi="Arial"/>
                <w:sz w:val="18"/>
                <w:szCs w:val="18"/>
                <w:b w:val="1"/>
                <w:bCs w:val="1"/>
                <w:color w:val="auto"/>
              </w:rPr>
              <w:t>759</w:t>
            </w:r>
          </w:p>
        </w:tc>
        <w:tc>
          <w:tcPr>
            <w:tcW w:w="82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22.5 %</w:t>
            </w:r>
          </w:p>
        </w:tc>
        <w:tc>
          <w:tcPr>
            <w:tcW w:w="100" w:type="dxa"/>
            <w:vAlign w:val="bottom"/>
            <w:shd w:val="clear" w:color="auto" w:fill="DDDDDD"/>
          </w:tcPr>
          <w:p>
            <w:pPr>
              <w:spacing w:after="0"/>
              <w:rPr>
                <w:sz w:val="21"/>
                <w:szCs w:val="21"/>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DDDDD"/>
          </w:tcPr>
          <w:p>
            <w:pPr>
              <w:jc w:val="right"/>
              <w:ind w:right="151"/>
              <w:spacing w:after="0"/>
              <w:rPr>
                <w:sz w:val="20"/>
                <w:szCs w:val="20"/>
                <w:color w:val="auto"/>
              </w:rPr>
            </w:pPr>
            <w:r>
              <w:rPr>
                <w:rFonts w:ascii="Arial" w:cs="Arial" w:eastAsia="Arial" w:hAnsi="Arial"/>
                <w:sz w:val="18"/>
                <w:szCs w:val="18"/>
                <w:color w:val="auto"/>
              </w:rPr>
              <w:t>606</w:t>
            </w:r>
          </w:p>
        </w:tc>
        <w:tc>
          <w:tcPr>
            <w:tcW w:w="8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43"/>
        </w:trPr>
        <w:tc>
          <w:tcPr>
            <w:tcW w:w="3440" w:type="dxa"/>
            <w:vAlign w:val="bottom"/>
          </w:tcPr>
          <w:p>
            <w:pPr>
              <w:ind w:left="140"/>
              <w:spacing w:after="0"/>
              <w:rPr>
                <w:sz w:val="20"/>
                <w:szCs w:val="20"/>
                <w:color w:val="auto"/>
              </w:rPr>
            </w:pPr>
            <w:r>
              <w:rPr>
                <w:rFonts w:ascii="Arial" w:cs="Arial" w:eastAsia="Arial" w:hAnsi="Arial"/>
                <w:sz w:val="18"/>
                <w:szCs w:val="18"/>
                <w:color w:val="auto"/>
              </w:rPr>
              <w:t>Acquisition-related costs (d)</w:t>
            </w:r>
          </w:p>
        </w:tc>
        <w:tc>
          <w:tcPr>
            <w:tcW w:w="180" w:type="dxa"/>
            <w:vAlign w:val="bottom"/>
          </w:tcPr>
          <w:p>
            <w:pPr>
              <w:spacing w:after="0"/>
              <w:rPr>
                <w:sz w:val="21"/>
                <w:szCs w:val="21"/>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b w:val="1"/>
                <w:bCs w:val="1"/>
                <w:color w:val="auto"/>
              </w:rPr>
              <w:t>15</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26</w:t>
            </w:r>
          </w:p>
        </w:tc>
        <w:tc>
          <w:tcPr>
            <w:tcW w:w="840" w:type="dxa"/>
            <w:vAlign w:val="bottom"/>
          </w:tcPr>
          <w:p>
            <w:pPr>
              <w:jc w:val="right"/>
              <w:spacing w:after="0"/>
              <w:rPr>
                <w:sz w:val="20"/>
                <w:szCs w:val="20"/>
                <w:color w:val="auto"/>
              </w:rPr>
            </w:pPr>
            <w:r>
              <w:rPr>
                <w:rFonts w:ascii="Arial" w:cs="Arial" w:eastAsia="Arial" w:hAnsi="Arial"/>
                <w:sz w:val="18"/>
                <w:szCs w:val="18"/>
                <w:color w:val="auto"/>
              </w:rPr>
              <w:t>2.5 %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b w:val="1"/>
                <w:bCs w:val="1"/>
                <w:color w:val="auto"/>
              </w:rPr>
              <w:t>50</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1.5 %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44</w:t>
            </w:r>
          </w:p>
        </w:tc>
        <w:tc>
          <w:tcPr>
            <w:tcW w:w="82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43"/>
        </w:trPr>
        <w:tc>
          <w:tcPr>
            <w:tcW w:w="3440" w:type="dxa"/>
            <w:vAlign w:val="bottom"/>
            <w:shd w:val="clear" w:color="auto" w:fill="DDDDDD"/>
          </w:tcPr>
          <w:p>
            <w:pPr>
              <w:ind w:left="140"/>
              <w:spacing w:after="0"/>
              <w:rPr>
                <w:sz w:val="20"/>
                <w:szCs w:val="20"/>
                <w:color w:val="auto"/>
              </w:rPr>
            </w:pPr>
            <w:r>
              <w:rPr>
                <w:rFonts w:ascii="Arial" w:cs="Arial" w:eastAsia="Arial" w:hAnsi="Arial"/>
                <w:sz w:val="18"/>
                <w:szCs w:val="18"/>
                <w:color w:val="auto"/>
              </w:rPr>
              <w:t>Transformational initiatives (e)</w:t>
            </w:r>
          </w:p>
        </w:tc>
        <w:tc>
          <w:tcPr>
            <w:tcW w:w="180" w:type="dxa"/>
            <w:vAlign w:val="bottom"/>
            <w:shd w:val="clear" w:color="auto" w:fill="DDDDDD"/>
          </w:tcPr>
          <w:p>
            <w:pPr>
              <w:spacing w:after="0"/>
              <w:rPr>
                <w:sz w:val="21"/>
                <w:szCs w:val="21"/>
                <w:color w:val="auto"/>
              </w:rPr>
            </w:pPr>
          </w:p>
        </w:tc>
        <w:tc>
          <w:tcPr>
            <w:tcW w:w="820" w:type="dxa"/>
            <w:vAlign w:val="bottom"/>
            <w:shd w:val="clear" w:color="auto" w:fill="DDDDDD"/>
          </w:tcPr>
          <w:p>
            <w:pPr>
              <w:jc w:val="right"/>
              <w:ind w:right="131"/>
              <w:spacing w:after="0"/>
              <w:rPr>
                <w:sz w:val="20"/>
                <w:szCs w:val="20"/>
                <w:color w:val="auto"/>
              </w:rPr>
            </w:pPr>
            <w:r>
              <w:rPr>
                <w:rFonts w:ascii="Arial" w:cs="Arial" w:eastAsia="Arial" w:hAnsi="Arial"/>
                <w:sz w:val="18"/>
                <w:szCs w:val="18"/>
                <w:b w:val="1"/>
                <w:bCs w:val="1"/>
                <w:color w:val="auto"/>
              </w:rPr>
              <w:t>5</w:t>
            </w:r>
          </w:p>
        </w:tc>
        <w:tc>
          <w:tcPr>
            <w:tcW w:w="84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0.4 %</w:t>
            </w:r>
          </w:p>
        </w:tc>
        <w:tc>
          <w:tcPr>
            <w:tcW w:w="10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840" w:type="dxa"/>
            <w:vAlign w:val="bottom"/>
            <w:shd w:val="clear" w:color="auto" w:fill="DDDDDD"/>
          </w:tcPr>
          <w:p>
            <w:pPr>
              <w:jc w:val="right"/>
              <w:ind w:right="151"/>
              <w:spacing w:after="0"/>
              <w:rPr>
                <w:sz w:val="20"/>
                <w:szCs w:val="20"/>
                <w:color w:val="auto"/>
              </w:rPr>
            </w:pPr>
            <w:r>
              <w:rPr>
                <w:rFonts w:ascii="Arial" w:cs="Arial" w:eastAsia="Arial" w:hAnsi="Arial"/>
                <w:sz w:val="18"/>
                <w:szCs w:val="18"/>
                <w:color w:val="auto"/>
              </w:rPr>
              <w:t>12</w:t>
            </w:r>
          </w:p>
        </w:tc>
        <w:tc>
          <w:tcPr>
            <w:tcW w:w="8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1.0 %</w:t>
            </w:r>
          </w:p>
        </w:tc>
        <w:tc>
          <w:tcPr>
            <w:tcW w:w="8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880" w:type="dxa"/>
            <w:vAlign w:val="bottom"/>
            <w:shd w:val="clear" w:color="auto" w:fill="DDDDDD"/>
          </w:tcPr>
          <w:p>
            <w:pPr>
              <w:jc w:val="right"/>
              <w:ind w:right="151"/>
              <w:spacing w:after="0"/>
              <w:rPr>
                <w:sz w:val="20"/>
                <w:szCs w:val="20"/>
                <w:color w:val="auto"/>
              </w:rPr>
            </w:pPr>
            <w:r>
              <w:rPr>
                <w:rFonts w:ascii="Arial" w:cs="Arial" w:eastAsia="Arial" w:hAnsi="Arial"/>
                <w:sz w:val="18"/>
                <w:szCs w:val="18"/>
                <w:b w:val="1"/>
                <w:bCs w:val="1"/>
                <w:color w:val="auto"/>
              </w:rPr>
              <w:t>15</w:t>
            </w:r>
          </w:p>
        </w:tc>
        <w:tc>
          <w:tcPr>
            <w:tcW w:w="820" w:type="dxa"/>
            <w:vAlign w:val="bottom"/>
            <w:shd w:val="clear" w:color="auto" w:fill="DDDDDD"/>
          </w:tcPr>
          <w:p>
            <w:pPr>
              <w:jc w:val="right"/>
              <w:spacing w:after="0"/>
              <w:rPr>
                <w:sz w:val="20"/>
                <w:szCs w:val="20"/>
                <w:color w:val="auto"/>
              </w:rPr>
            </w:pPr>
            <w:r>
              <w:rPr>
                <w:rFonts w:ascii="Arial" w:cs="Arial" w:eastAsia="Arial" w:hAnsi="Arial"/>
                <w:sz w:val="18"/>
                <w:szCs w:val="18"/>
                <w:b w:val="1"/>
                <w:bCs w:val="1"/>
                <w:color w:val="auto"/>
              </w:rPr>
              <w:t>0.4 %</w:t>
            </w:r>
          </w:p>
        </w:tc>
        <w:tc>
          <w:tcPr>
            <w:tcW w:w="10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880" w:type="dxa"/>
            <w:vAlign w:val="bottom"/>
            <w:shd w:val="clear" w:color="auto" w:fill="DDDDDD"/>
          </w:tcPr>
          <w:p>
            <w:pPr>
              <w:jc w:val="right"/>
              <w:ind w:right="151"/>
              <w:spacing w:after="0"/>
              <w:rPr>
                <w:sz w:val="20"/>
                <w:szCs w:val="20"/>
                <w:color w:val="auto"/>
              </w:rPr>
            </w:pPr>
            <w:r>
              <w:rPr>
                <w:rFonts w:ascii="Arial" w:cs="Arial" w:eastAsia="Arial" w:hAnsi="Arial"/>
                <w:sz w:val="18"/>
                <w:szCs w:val="18"/>
                <w:color w:val="auto"/>
              </w:rPr>
              <w:t>51</w:t>
            </w:r>
          </w:p>
        </w:tc>
        <w:tc>
          <w:tcPr>
            <w:tcW w:w="8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3440" w:type="dxa"/>
            <w:vAlign w:val="bottom"/>
          </w:tcPr>
          <w:p>
            <w:pPr>
              <w:ind w:left="140"/>
              <w:spacing w:after="0"/>
              <w:rPr>
                <w:sz w:val="20"/>
                <w:szCs w:val="20"/>
                <w:color w:val="auto"/>
              </w:rPr>
            </w:pPr>
            <w:r>
              <w:rPr>
                <w:rFonts w:ascii="Arial" w:cs="Arial" w:eastAsia="Arial" w:hAnsi="Arial"/>
                <w:sz w:val="18"/>
                <w:szCs w:val="18"/>
                <w:color w:val="auto"/>
              </w:rPr>
              <w:t>Intangible impairment</w:t>
            </w:r>
          </w:p>
        </w:tc>
        <w:tc>
          <w:tcPr>
            <w:tcW w:w="180" w:type="dxa"/>
            <w:vAlign w:val="bottom"/>
          </w:tcPr>
          <w:p>
            <w:pPr>
              <w:spacing w:after="0"/>
              <w:rPr>
                <w:sz w:val="21"/>
                <w:szCs w:val="21"/>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 %</w:t>
            </w:r>
          </w:p>
        </w:tc>
        <w:tc>
          <w:tcPr>
            <w:tcW w:w="180" w:type="dxa"/>
            <w:vAlign w:val="bottom"/>
          </w:tcPr>
          <w:p>
            <w:pPr>
              <w:spacing w:after="0"/>
              <w:rPr>
                <w:sz w:val="21"/>
                <w:szCs w:val="21"/>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 %</w:t>
            </w:r>
          </w:p>
        </w:tc>
        <w:tc>
          <w:tcPr>
            <w:tcW w:w="20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23</w:t>
            </w:r>
          </w:p>
        </w:tc>
        <w:tc>
          <w:tcPr>
            <w:tcW w:w="820" w:type="dxa"/>
            <w:vAlign w:val="bottom"/>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43"/>
        </w:trPr>
        <w:tc>
          <w:tcPr>
            <w:tcW w:w="3440" w:type="dxa"/>
            <w:vAlign w:val="bottom"/>
            <w:shd w:val="clear" w:color="auto" w:fill="DDDDDD"/>
          </w:tcPr>
          <w:p>
            <w:pPr>
              <w:ind w:left="140"/>
              <w:spacing w:after="0"/>
              <w:rPr>
                <w:sz w:val="20"/>
                <w:szCs w:val="20"/>
                <w:color w:val="auto"/>
              </w:rPr>
            </w:pPr>
            <w:r>
              <w:rPr>
                <w:rFonts w:ascii="Arial" w:cs="Arial" w:eastAsia="Arial" w:hAnsi="Arial"/>
                <w:sz w:val="18"/>
                <w:szCs w:val="18"/>
                <w:color w:val="auto"/>
              </w:rPr>
              <w:t>Other (g)</w:t>
            </w:r>
          </w:p>
        </w:tc>
        <w:tc>
          <w:tcPr>
            <w:tcW w:w="180" w:type="dxa"/>
            <w:vAlign w:val="bottom"/>
            <w:shd w:val="clear" w:color="auto" w:fill="DDDDDD"/>
          </w:tcPr>
          <w:p>
            <w:pPr>
              <w:spacing w:after="0"/>
              <w:rPr>
                <w:sz w:val="21"/>
                <w:szCs w:val="21"/>
                <w:color w:val="auto"/>
              </w:rPr>
            </w:pPr>
          </w:p>
        </w:tc>
        <w:tc>
          <w:tcPr>
            <w:tcW w:w="820" w:type="dxa"/>
            <w:vAlign w:val="bottom"/>
            <w:shd w:val="clear" w:color="auto" w:fill="DDDDDD"/>
          </w:tcPr>
          <w:p>
            <w:pPr>
              <w:jc w:val="right"/>
              <w:ind w:right="131"/>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b w:val="1"/>
                <w:bCs w:val="1"/>
                <w:color w:val="auto"/>
              </w:rPr>
              <w:t>— %</w:t>
            </w:r>
          </w:p>
        </w:tc>
        <w:tc>
          <w:tcPr>
            <w:tcW w:w="180" w:type="dxa"/>
            <w:vAlign w:val="bottom"/>
            <w:shd w:val="clear" w:color="auto" w:fill="DDDDDD"/>
          </w:tcPr>
          <w:p>
            <w:pPr>
              <w:spacing w:after="0"/>
              <w:rPr>
                <w:sz w:val="21"/>
                <w:szCs w:val="21"/>
                <w:color w:val="auto"/>
              </w:rPr>
            </w:pPr>
          </w:p>
        </w:tc>
        <w:tc>
          <w:tcPr>
            <w:tcW w:w="840" w:type="dxa"/>
            <w:vAlign w:val="bottom"/>
            <w:shd w:val="clear" w:color="auto" w:fill="DDDDDD"/>
          </w:tcPr>
          <w:p>
            <w:pPr>
              <w:jc w:val="right"/>
              <w:ind w:right="151"/>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DDDDDD"/>
          </w:tcPr>
          <w:p>
            <w:pPr>
              <w:jc w:val="right"/>
              <w:ind w:right="100"/>
              <w:spacing w:after="0"/>
              <w:rPr>
                <w:sz w:val="20"/>
                <w:szCs w:val="20"/>
                <w:color w:val="auto"/>
              </w:rPr>
            </w:pPr>
            <w:r>
              <w:rPr>
                <w:rFonts w:ascii="Arial" w:cs="Arial" w:eastAsia="Arial" w:hAnsi="Arial"/>
                <w:sz w:val="18"/>
                <w:szCs w:val="18"/>
                <w:color w:val="auto"/>
              </w:rPr>
              <w:t>— %</w:t>
            </w:r>
          </w:p>
        </w:tc>
        <w:tc>
          <w:tcPr>
            <w:tcW w:w="200" w:type="dxa"/>
            <w:vAlign w:val="bottom"/>
            <w:shd w:val="clear" w:color="auto" w:fill="DDDDDD"/>
          </w:tcPr>
          <w:p>
            <w:pPr>
              <w:spacing w:after="0"/>
              <w:rPr>
                <w:sz w:val="21"/>
                <w:szCs w:val="21"/>
                <w:color w:val="auto"/>
              </w:rPr>
            </w:pPr>
          </w:p>
        </w:tc>
        <w:tc>
          <w:tcPr>
            <w:tcW w:w="880" w:type="dxa"/>
            <w:vAlign w:val="bottom"/>
            <w:shd w:val="clear" w:color="auto" w:fill="DDDDDD"/>
          </w:tcPr>
          <w:p>
            <w:pPr>
              <w:jc w:val="right"/>
              <w:ind w:right="151"/>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DDDDDD"/>
          </w:tcPr>
          <w:p>
            <w:pPr>
              <w:jc w:val="right"/>
              <w:ind w:right="100"/>
              <w:spacing w:after="0"/>
              <w:rPr>
                <w:sz w:val="20"/>
                <w:szCs w:val="20"/>
                <w:color w:val="auto"/>
              </w:rPr>
            </w:pPr>
            <w:r>
              <w:rPr>
                <w:rFonts w:ascii="Arial" w:cs="Arial" w:eastAsia="Arial" w:hAnsi="Arial"/>
                <w:sz w:val="18"/>
                <w:szCs w:val="18"/>
                <w:b w:val="1"/>
                <w:bCs w:val="1"/>
                <w:color w:val="auto"/>
              </w:rPr>
              <w:t>— %</w:t>
            </w:r>
          </w:p>
        </w:tc>
        <w:tc>
          <w:tcPr>
            <w:tcW w:w="200" w:type="dxa"/>
            <w:vAlign w:val="bottom"/>
            <w:shd w:val="clear" w:color="auto" w:fill="DDDDDD"/>
          </w:tcPr>
          <w:p>
            <w:pPr>
              <w:spacing w:after="0"/>
              <w:rPr>
                <w:sz w:val="21"/>
                <w:szCs w:val="21"/>
                <w:color w:val="auto"/>
              </w:rPr>
            </w:pPr>
          </w:p>
        </w:tc>
        <w:tc>
          <w:tcPr>
            <w:tcW w:w="880" w:type="dxa"/>
            <w:vAlign w:val="bottom"/>
            <w:shd w:val="clear" w:color="auto" w:fill="DDDDDD"/>
          </w:tcPr>
          <w:p>
            <w:pPr>
              <w:jc w:val="right"/>
              <w:ind w:right="151"/>
              <w:spacing w:after="0"/>
              <w:rPr>
                <w:sz w:val="20"/>
                <w:szCs w:val="20"/>
                <w:color w:val="auto"/>
              </w:rPr>
            </w:pPr>
            <w:r>
              <w:rPr>
                <w:rFonts w:ascii="Arial" w:cs="Arial" w:eastAsia="Arial" w:hAnsi="Arial"/>
                <w:sz w:val="18"/>
                <w:szCs w:val="18"/>
                <w:color w:val="auto"/>
              </w:rPr>
              <w:t>5</w:t>
            </w:r>
          </w:p>
        </w:tc>
        <w:tc>
          <w:tcPr>
            <w:tcW w:w="8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37"/>
        </w:trPr>
        <w:tc>
          <w:tcPr>
            <w:tcW w:w="3440" w:type="dxa"/>
            <w:vAlign w:val="bottom"/>
          </w:tcPr>
          <w:p>
            <w:pPr>
              <w:ind w:left="20"/>
              <w:spacing w:after="0"/>
              <w:rPr>
                <w:sz w:val="20"/>
                <w:szCs w:val="20"/>
                <w:color w:val="auto"/>
              </w:rPr>
            </w:pPr>
            <w:r>
              <w:rPr>
                <w:rFonts w:ascii="Arial" w:cs="Arial" w:eastAsia="Arial" w:hAnsi="Arial"/>
                <w:sz w:val="18"/>
                <w:szCs w:val="18"/>
                <w:color w:val="auto"/>
              </w:rPr>
              <w:t>Non-GAAP operating profit (b)</w:t>
            </w: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325</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28.8 %</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265</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24.5 %</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824</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24.4 %</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729</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22.9 %</w:t>
            </w:r>
          </w:p>
        </w:tc>
        <w:tc>
          <w:tcPr>
            <w:tcW w:w="0" w:type="dxa"/>
            <w:vAlign w:val="bottom"/>
          </w:tcPr>
          <w:p>
            <w:pPr>
              <w:spacing w:after="0"/>
              <w:rPr>
                <w:sz w:val="1"/>
                <w:szCs w:val="1"/>
                <w:color w:val="auto"/>
              </w:rPr>
            </w:pPr>
          </w:p>
        </w:tc>
      </w:tr>
      <w:tr>
        <w:trPr>
          <w:trHeight w:val="243"/>
        </w:trPr>
        <w:tc>
          <w:tcPr>
            <w:tcW w:w="34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Tariff refunds (i)</w:t>
            </w:r>
          </w:p>
        </w:tc>
        <w:tc>
          <w:tcPr>
            <w:tcW w:w="180" w:type="dxa"/>
            <w:vAlign w:val="bottom"/>
            <w:shd w:val="clear" w:color="auto" w:fill="DBDBDB"/>
          </w:tcPr>
          <w:p>
            <w:pPr>
              <w:spacing w:after="0"/>
              <w:rPr>
                <w:sz w:val="21"/>
                <w:szCs w:val="21"/>
                <w:color w:val="auto"/>
              </w:rPr>
            </w:pPr>
          </w:p>
        </w:tc>
        <w:tc>
          <w:tcPr>
            <w:tcW w:w="820" w:type="dxa"/>
            <w:vAlign w:val="bottom"/>
            <w:shd w:val="clear" w:color="auto" w:fill="DBDBDB"/>
          </w:tcPr>
          <w:p>
            <w:pPr>
              <w:jc w:val="right"/>
              <w:ind w:right="91"/>
              <w:spacing w:after="0"/>
              <w:rPr>
                <w:sz w:val="20"/>
                <w:szCs w:val="20"/>
                <w:color w:val="auto"/>
              </w:rPr>
            </w:pPr>
            <w:r>
              <w:rPr>
                <w:rFonts w:ascii="Arial" w:cs="Arial" w:eastAsia="Arial" w:hAnsi="Arial"/>
                <w:sz w:val="18"/>
                <w:szCs w:val="18"/>
                <w:b w:val="1"/>
                <w:bCs w:val="1"/>
                <w:color w:val="auto"/>
              </w:rPr>
              <w:t>(33)</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84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 %</w:t>
            </w:r>
          </w:p>
        </w:tc>
        <w:tc>
          <w:tcPr>
            <w:tcW w:w="200" w:type="dxa"/>
            <w:vAlign w:val="bottom"/>
            <w:shd w:val="clear" w:color="auto" w:fill="DBDBDB"/>
          </w:tcPr>
          <w:p>
            <w:pPr>
              <w:spacing w:after="0"/>
              <w:rPr>
                <w:sz w:val="21"/>
                <w:szCs w:val="21"/>
                <w:color w:val="auto"/>
              </w:rPr>
            </w:pPr>
          </w:p>
        </w:tc>
        <w:tc>
          <w:tcPr>
            <w:tcW w:w="880" w:type="dxa"/>
            <w:vAlign w:val="bottom"/>
            <w:shd w:val="clear" w:color="auto" w:fill="DBDBDB"/>
          </w:tcPr>
          <w:p>
            <w:pPr>
              <w:jc w:val="right"/>
              <w:ind w:right="111"/>
              <w:spacing w:after="0"/>
              <w:rPr>
                <w:sz w:val="20"/>
                <w:szCs w:val="20"/>
                <w:color w:val="auto"/>
              </w:rPr>
            </w:pPr>
            <w:r>
              <w:rPr>
                <w:rFonts w:ascii="Arial" w:cs="Arial" w:eastAsia="Arial" w:hAnsi="Arial"/>
                <w:sz w:val="18"/>
                <w:szCs w:val="18"/>
                <w:b w:val="1"/>
                <w:bCs w:val="1"/>
                <w:color w:val="auto"/>
              </w:rPr>
              <w:t>(33)</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88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69"/>
        </w:trPr>
        <w:tc>
          <w:tcPr>
            <w:tcW w:w="3440" w:type="dxa"/>
            <w:vAlign w:val="bottom"/>
          </w:tcPr>
          <w:p>
            <w:pPr>
              <w:ind w:left="20"/>
              <w:spacing w:after="0" w:line="169" w:lineRule="exact"/>
              <w:rPr>
                <w:sz w:val="20"/>
                <w:szCs w:val="20"/>
                <w:color w:val="auto"/>
              </w:rPr>
            </w:pPr>
            <w:r>
              <w:rPr>
                <w:rFonts w:ascii="Arial" w:cs="Arial" w:eastAsia="Arial" w:hAnsi="Arial"/>
                <w:sz w:val="18"/>
                <w:szCs w:val="18"/>
                <w:color w:val="auto"/>
              </w:rPr>
              <w:t>Non-GAAP operating profit, excluding</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vMerge w:val="restart"/>
          </w:tcPr>
          <w:p>
            <w:pPr>
              <w:jc w:val="right"/>
              <w:ind w:right="131"/>
              <w:spacing w:after="0"/>
              <w:rPr>
                <w:sz w:val="20"/>
                <w:szCs w:val="20"/>
                <w:color w:val="auto"/>
              </w:rPr>
            </w:pPr>
            <w:r>
              <w:rPr>
                <w:rFonts w:ascii="Arial" w:cs="Arial" w:eastAsia="Arial" w:hAnsi="Arial"/>
                <w:sz w:val="18"/>
                <w:szCs w:val="18"/>
                <w:b w:val="1"/>
                <w:bCs w:val="1"/>
                <w:color w:val="auto"/>
              </w:rPr>
              <w:t>292</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25.0 %</w:t>
            </w:r>
          </w:p>
        </w:tc>
        <w:tc>
          <w:tcPr>
            <w:tcW w:w="100" w:type="dxa"/>
            <w:vAlign w:val="bottom"/>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51"/>
              <w:spacing w:after="0"/>
              <w:rPr>
                <w:sz w:val="20"/>
                <w:szCs w:val="20"/>
                <w:color w:val="auto"/>
              </w:rPr>
            </w:pPr>
            <w:r>
              <w:rPr>
                <w:rFonts w:ascii="Arial" w:cs="Arial" w:eastAsia="Arial" w:hAnsi="Arial"/>
                <w:sz w:val="18"/>
                <w:szCs w:val="18"/>
                <w:color w:val="auto"/>
              </w:rPr>
              <w:t>265</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24.5 %</w:t>
            </w:r>
          </w:p>
        </w:tc>
        <w:tc>
          <w:tcPr>
            <w:tcW w:w="80" w:type="dxa"/>
            <w:vAlign w:val="bottom"/>
          </w:tcPr>
          <w:p>
            <w:pPr>
              <w:spacing w:after="0"/>
              <w:rPr>
                <w:sz w:val="14"/>
                <w:szCs w:val="14"/>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vMerge w:val="restart"/>
          </w:tcPr>
          <w:p>
            <w:pPr>
              <w:jc w:val="right"/>
              <w:ind w:right="151"/>
              <w:spacing w:after="0"/>
              <w:rPr>
                <w:sz w:val="20"/>
                <w:szCs w:val="20"/>
                <w:color w:val="auto"/>
              </w:rPr>
            </w:pPr>
            <w:r>
              <w:rPr>
                <w:rFonts w:ascii="Arial" w:cs="Arial" w:eastAsia="Arial" w:hAnsi="Arial"/>
                <w:sz w:val="18"/>
                <w:szCs w:val="18"/>
                <w:b w:val="1"/>
                <w:bCs w:val="1"/>
                <w:color w:val="auto"/>
              </w:rPr>
              <w:t>791</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23.1 %</w:t>
            </w:r>
          </w:p>
        </w:tc>
        <w:tc>
          <w:tcPr>
            <w:tcW w:w="100" w:type="dxa"/>
            <w:vAlign w:val="bottom"/>
          </w:tcPr>
          <w:p>
            <w:pPr>
              <w:spacing w:after="0"/>
              <w:rPr>
                <w:sz w:val="14"/>
                <w:szCs w:val="14"/>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51"/>
              <w:spacing w:after="0"/>
              <w:rPr>
                <w:sz w:val="20"/>
                <w:szCs w:val="20"/>
                <w:color w:val="auto"/>
              </w:rPr>
            </w:pPr>
            <w:r>
              <w:rPr>
                <w:rFonts w:ascii="Arial" w:cs="Arial" w:eastAsia="Arial" w:hAnsi="Arial"/>
                <w:sz w:val="18"/>
                <w:szCs w:val="18"/>
                <w:color w:val="auto"/>
              </w:rPr>
              <w:t>729</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22.9 %</w:t>
            </w:r>
          </w:p>
        </w:tc>
        <w:tc>
          <w:tcPr>
            <w:tcW w:w="0" w:type="dxa"/>
            <w:vAlign w:val="bottom"/>
          </w:tcPr>
          <w:p>
            <w:pPr>
              <w:spacing w:after="0"/>
              <w:rPr>
                <w:sz w:val="1"/>
                <w:szCs w:val="1"/>
                <w:color w:val="auto"/>
              </w:rPr>
            </w:pPr>
          </w:p>
        </w:tc>
      </w:tr>
      <w:tr>
        <w:trPr>
          <w:trHeight w:val="221"/>
        </w:trPr>
        <w:tc>
          <w:tcPr>
            <w:tcW w:w="3440" w:type="dxa"/>
            <w:vAlign w:val="bottom"/>
          </w:tcPr>
          <w:p>
            <w:pPr>
              <w:ind w:left="20"/>
              <w:spacing w:after="0"/>
              <w:rPr>
                <w:sz w:val="20"/>
                <w:szCs w:val="20"/>
                <w:color w:val="auto"/>
              </w:rPr>
            </w:pPr>
            <w:r>
              <w:rPr>
                <w:rFonts w:ascii="Arial" w:cs="Arial" w:eastAsia="Arial" w:hAnsi="Arial"/>
                <w:sz w:val="18"/>
                <w:szCs w:val="18"/>
                <w:color w:val="auto"/>
              </w:rPr>
              <w:t>tariff refunds (b)</w:t>
            </w:r>
          </w:p>
        </w:tc>
        <w:tc>
          <w:tcPr>
            <w:tcW w:w="1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836" w:right="359" w:bottom="1440" w:gutter="0" w:footer="0" w:header="0"/>
        </w:sectPr>
      </w:pPr>
    </w:p>
    <w:bookmarkStart w:id="14" w:name="page15"/>
    <w:bookmarkEnd w:id="14"/>
    <w:p>
      <w:pPr>
        <w:ind w:left="332" w:hanging="332"/>
        <w:spacing w:after="0" w:line="255" w:lineRule="auto"/>
        <w:tabs>
          <w:tab w:leader="none" w:pos="322"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growth, excluding tariff refunds adjusts for the tariff refund to customers. Organic revenue growth adjusts for the impact from the tariff refund to customers, acquisitions and currency movements, which is calculated using comparative prior period foreign exchange rates to translate current period revenue, net of the effects of hedges. Rest of World (ROW) organic revenue growth also adjusts for the impact from our China region.</w:t>
      </w:r>
    </w:p>
    <w:p>
      <w:pPr>
        <w:spacing w:after="0" w:line="2" w:lineRule="exact"/>
        <w:rPr>
          <w:rFonts w:ascii="Arial" w:cs="Arial" w:eastAsia="Arial" w:hAnsi="Arial"/>
          <w:sz w:val="18"/>
          <w:szCs w:val="18"/>
          <w:color w:val="auto"/>
        </w:rPr>
      </w:pPr>
    </w:p>
    <w:p>
      <w:pPr>
        <w:ind w:left="332" w:right="60" w:hanging="332"/>
        <w:spacing w:after="0" w:line="250" w:lineRule="auto"/>
        <w:tabs>
          <w:tab w:leader="none" w:pos="322"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Non-GAAP gross profit, included within non-GAAP operating profit, is a key measure of the effectiveness and efficiency of manufacturing processes, product mix and the average selling prices of our products and services. Non-GAAP diluted earnings per share and non-GAAP operating profit exclude the effects of the pro forma adjustments as detailed above. Non-GAAP operating margin and diluted earnings per share are key components of the financial metrics utilized by the company’s board of directors to measure, in part, management’s performance and determine significant elements of management’s compensation. Management has excluded the effects of these items in these measures to assist investors in analyzing and assessing past and future operating performance.</w:t>
      </w:r>
    </w:p>
    <w:p>
      <w:pPr>
        <w:spacing w:after="0" w:line="2" w:lineRule="exact"/>
        <w:rPr>
          <w:rFonts w:ascii="Arial" w:cs="Arial" w:eastAsia="Arial" w:hAnsi="Arial"/>
          <w:sz w:val="18"/>
          <w:szCs w:val="18"/>
          <w:color w:val="auto"/>
        </w:rPr>
      </w:pPr>
    </w:p>
    <w:p>
      <w:pPr>
        <w:ind w:left="312" w:hanging="312"/>
        <w:spacing w:after="0"/>
        <w:tabs>
          <w:tab w:leader="none" w:pos="312"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Reconciling amounts are recorded in cost of revenue.</w:t>
      </w:r>
    </w:p>
    <w:p>
      <w:pPr>
        <w:spacing w:after="0" w:line="9" w:lineRule="exact"/>
        <w:rPr>
          <w:rFonts w:ascii="Arial" w:cs="Arial" w:eastAsia="Arial" w:hAnsi="Arial"/>
          <w:sz w:val="18"/>
          <w:szCs w:val="18"/>
          <w:color w:val="auto"/>
        </w:rPr>
      </w:pPr>
    </w:p>
    <w:p>
      <w:pPr>
        <w:ind w:left="312" w:hanging="312"/>
        <w:spacing w:after="0"/>
        <w:tabs>
          <w:tab w:leader="none" w:pos="312"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for Q3 2026 and YTD 2026 consist primarily of:</w:t>
      </w:r>
    </w:p>
    <w:p>
      <w:pPr>
        <w:spacing w:after="0" w:line="9" w:lineRule="exact"/>
        <w:rPr>
          <w:rFonts w:ascii="Arial" w:cs="Arial" w:eastAsia="Arial" w:hAnsi="Arial"/>
          <w:sz w:val="18"/>
          <w:szCs w:val="18"/>
          <w:color w:val="auto"/>
        </w:rPr>
      </w:pPr>
    </w:p>
    <w:p>
      <w:pPr>
        <w:ind w:left="812" w:hanging="326"/>
        <w:spacing w:after="0"/>
        <w:tabs>
          <w:tab w:leader="none" w:pos="812" w:val="left"/>
        </w:tabs>
        <w:numPr>
          <w:ilvl w:val="1"/>
          <w:numId w:val="7"/>
        </w:numPr>
        <w:rPr>
          <w:rFonts w:ascii="Arial" w:cs="Arial" w:eastAsia="Arial" w:hAnsi="Arial"/>
          <w:sz w:val="18"/>
          <w:szCs w:val="18"/>
          <w:color w:val="auto"/>
        </w:rPr>
      </w:pPr>
      <w:r>
        <w:rPr>
          <w:rFonts w:ascii="Arial" w:cs="Arial" w:eastAsia="Arial" w:hAnsi="Arial"/>
          <w:sz w:val="18"/>
          <w:szCs w:val="18"/>
          <w:color w:val="auto"/>
        </w:rPr>
        <w:t>Amortization of intangible assets of $18 million and $53 million (cost of revenue)</w:t>
      </w:r>
    </w:p>
    <w:p>
      <w:pPr>
        <w:spacing w:after="0" w:line="9" w:lineRule="exact"/>
        <w:rPr>
          <w:rFonts w:ascii="Arial" w:cs="Arial" w:eastAsia="Arial" w:hAnsi="Arial"/>
          <w:sz w:val="18"/>
          <w:szCs w:val="18"/>
          <w:color w:val="auto"/>
        </w:rPr>
      </w:pPr>
    </w:p>
    <w:p>
      <w:pPr>
        <w:ind w:left="812" w:hanging="326"/>
        <w:spacing w:after="0"/>
        <w:tabs>
          <w:tab w:leader="none" w:pos="812" w:val="left"/>
        </w:tabs>
        <w:numPr>
          <w:ilvl w:val="1"/>
          <w:numId w:val="7"/>
        </w:numPr>
        <w:rPr>
          <w:rFonts w:ascii="Arial" w:cs="Arial" w:eastAsia="Arial" w:hAnsi="Arial"/>
          <w:sz w:val="18"/>
          <w:szCs w:val="18"/>
          <w:color w:val="auto"/>
        </w:rPr>
      </w:pPr>
      <w:r>
        <w:rPr>
          <w:rFonts w:ascii="Arial" w:cs="Arial" w:eastAsia="Arial" w:hAnsi="Arial"/>
          <w:sz w:val="18"/>
          <w:szCs w:val="18"/>
          <w:color w:val="auto"/>
        </w:rPr>
        <w:t>Amortization of inventory fair value step-up for SomaLogic of $2 million and $10 million (cost of revenue)</w:t>
      </w:r>
    </w:p>
    <w:p>
      <w:pPr>
        <w:spacing w:after="0" w:line="9" w:lineRule="exact"/>
        <w:rPr>
          <w:rFonts w:ascii="Arial" w:cs="Arial" w:eastAsia="Arial" w:hAnsi="Arial"/>
          <w:sz w:val="18"/>
          <w:szCs w:val="18"/>
          <w:color w:val="auto"/>
        </w:rPr>
      </w:pPr>
    </w:p>
    <w:p>
      <w:pPr>
        <w:ind w:left="812" w:hanging="326"/>
        <w:spacing w:after="0"/>
        <w:tabs>
          <w:tab w:leader="none" w:pos="812" w:val="left"/>
        </w:tabs>
        <w:numPr>
          <w:ilvl w:val="1"/>
          <w:numId w:val="7"/>
        </w:numPr>
        <w:rPr>
          <w:rFonts w:ascii="Arial" w:cs="Arial" w:eastAsia="Arial" w:hAnsi="Arial"/>
          <w:sz w:val="18"/>
          <w:szCs w:val="18"/>
          <w:color w:val="auto"/>
        </w:rPr>
      </w:pPr>
      <w:r>
        <w:rPr>
          <w:rFonts w:ascii="Arial" w:cs="Arial" w:eastAsia="Arial" w:hAnsi="Arial"/>
          <w:sz w:val="18"/>
          <w:szCs w:val="18"/>
          <w:color w:val="auto"/>
        </w:rPr>
        <w:t>Expenses for the SomaLogic and GRAIL acquisitions of $5 million and $26 million (operating expense)</w:t>
      </w:r>
    </w:p>
    <w:p>
      <w:pPr>
        <w:spacing w:after="0" w:line="9" w:lineRule="exact"/>
        <w:rPr>
          <w:rFonts w:ascii="Arial" w:cs="Arial" w:eastAsia="Arial" w:hAnsi="Arial"/>
          <w:sz w:val="18"/>
          <w:szCs w:val="18"/>
          <w:color w:val="auto"/>
        </w:rPr>
      </w:pPr>
    </w:p>
    <w:p>
      <w:pPr>
        <w:ind w:left="812" w:hanging="326"/>
        <w:spacing w:after="0"/>
        <w:tabs>
          <w:tab w:leader="none" w:pos="812" w:val="left"/>
        </w:tabs>
        <w:numPr>
          <w:ilvl w:val="1"/>
          <w:numId w:val="7"/>
        </w:numPr>
        <w:rPr>
          <w:rFonts w:ascii="Arial" w:cs="Arial" w:eastAsia="Arial" w:hAnsi="Arial"/>
          <w:sz w:val="18"/>
          <w:szCs w:val="18"/>
          <w:color w:val="auto"/>
        </w:rPr>
      </w:pPr>
      <w:r>
        <w:rPr>
          <w:rFonts w:ascii="Arial" w:cs="Arial" w:eastAsia="Arial" w:hAnsi="Arial"/>
          <w:sz w:val="18"/>
          <w:szCs w:val="18"/>
          <w:color w:val="auto"/>
        </w:rPr>
        <w:t>Net gains on contingent consideration liabilities of ($11) million and ($43) million (operating expense)</w:t>
      </w:r>
    </w:p>
    <w:p>
      <w:pPr>
        <w:spacing w:after="0" w:line="207" w:lineRule="exact"/>
        <w:rPr>
          <w:sz w:val="20"/>
          <w:szCs w:val="20"/>
          <w:color w:val="auto"/>
        </w:rPr>
      </w:pPr>
    </w:p>
    <w:p>
      <w:pPr>
        <w:ind w:left="812" w:hanging="326"/>
        <w:spacing w:after="0"/>
        <w:tabs>
          <w:tab w:leader="none" w:pos="812" w:val="left"/>
        </w:tabs>
        <w:numPr>
          <w:ilvl w:val="1"/>
          <w:numId w:val="8"/>
        </w:numPr>
        <w:rPr>
          <w:rFonts w:ascii="Arial" w:cs="Arial" w:eastAsia="Arial" w:hAnsi="Arial"/>
          <w:sz w:val="18"/>
          <w:szCs w:val="18"/>
          <w:color w:val="auto"/>
        </w:rPr>
      </w:pPr>
      <w:r>
        <w:rPr>
          <w:rFonts w:ascii="Arial" w:cs="Arial" w:eastAsia="Arial" w:hAnsi="Arial"/>
          <w:sz w:val="18"/>
          <w:szCs w:val="18"/>
          <w:color w:val="auto"/>
        </w:rPr>
        <w:t>Amortization of intangible assets of $16 million and $50 million (cost of revenue)</w:t>
      </w:r>
    </w:p>
    <w:p>
      <w:pPr>
        <w:spacing w:after="0" w:line="27" w:lineRule="exact"/>
        <w:rPr>
          <w:rFonts w:ascii="Arial" w:cs="Arial" w:eastAsia="Arial" w:hAnsi="Arial"/>
          <w:sz w:val="18"/>
          <w:szCs w:val="18"/>
          <w:color w:val="auto"/>
        </w:rPr>
      </w:pPr>
    </w:p>
    <w:p>
      <w:pPr>
        <w:ind w:left="812" w:hanging="326"/>
        <w:spacing w:after="0"/>
        <w:tabs>
          <w:tab w:leader="none" w:pos="812" w:val="left"/>
        </w:tabs>
        <w:numPr>
          <w:ilvl w:val="1"/>
          <w:numId w:val="8"/>
        </w:numPr>
        <w:rPr>
          <w:rFonts w:ascii="Arial" w:cs="Arial" w:eastAsia="Arial" w:hAnsi="Arial"/>
          <w:sz w:val="18"/>
          <w:szCs w:val="18"/>
          <w:color w:val="auto"/>
        </w:rPr>
      </w:pPr>
      <w:r>
        <w:rPr>
          <w:rFonts w:ascii="Arial" w:cs="Arial" w:eastAsia="Arial" w:hAnsi="Arial"/>
          <w:sz w:val="18"/>
          <w:szCs w:val="18"/>
          <w:color w:val="auto"/>
        </w:rPr>
        <w:t>Expenses for the SomaLogic and GRAIL acquisitions of $4 million and $19 million (operating expense)</w:t>
      </w:r>
    </w:p>
    <w:p>
      <w:pPr>
        <w:spacing w:after="0" w:line="9" w:lineRule="exact"/>
        <w:rPr>
          <w:rFonts w:ascii="Arial" w:cs="Arial" w:eastAsia="Arial" w:hAnsi="Arial"/>
          <w:sz w:val="18"/>
          <w:szCs w:val="18"/>
          <w:color w:val="auto"/>
        </w:rPr>
      </w:pPr>
    </w:p>
    <w:p>
      <w:pPr>
        <w:ind w:left="812" w:hanging="326"/>
        <w:spacing w:after="0"/>
        <w:tabs>
          <w:tab w:leader="none" w:pos="812" w:val="left"/>
        </w:tabs>
        <w:numPr>
          <w:ilvl w:val="1"/>
          <w:numId w:val="8"/>
        </w:numPr>
        <w:rPr>
          <w:rFonts w:ascii="Arial" w:cs="Arial" w:eastAsia="Arial" w:hAnsi="Arial"/>
          <w:sz w:val="18"/>
          <w:szCs w:val="18"/>
          <w:color w:val="auto"/>
        </w:rPr>
      </w:pPr>
      <w:r>
        <w:rPr>
          <w:rFonts w:ascii="Arial" w:cs="Arial" w:eastAsia="Arial" w:hAnsi="Arial"/>
          <w:sz w:val="18"/>
          <w:szCs w:val="18"/>
          <w:color w:val="auto"/>
        </w:rPr>
        <w:t>Net losses (gains) on contingent consideration liabilities of $3 million and ($29) million (operating expense)</w:t>
      </w:r>
    </w:p>
    <w:p>
      <w:pPr>
        <w:spacing w:after="0" w:line="9" w:lineRule="exact"/>
        <w:rPr>
          <w:rFonts w:ascii="Arial" w:cs="Arial" w:eastAsia="Arial" w:hAnsi="Arial"/>
          <w:sz w:val="18"/>
          <w:szCs w:val="18"/>
          <w:color w:val="auto"/>
        </w:rPr>
      </w:pPr>
    </w:p>
    <w:p>
      <w:pPr>
        <w:ind w:left="812" w:hanging="326"/>
        <w:spacing w:after="0"/>
        <w:tabs>
          <w:tab w:leader="none" w:pos="812" w:val="left"/>
        </w:tabs>
        <w:numPr>
          <w:ilvl w:val="1"/>
          <w:numId w:val="8"/>
        </w:numPr>
        <w:rPr>
          <w:rFonts w:ascii="Arial" w:cs="Arial" w:eastAsia="Arial" w:hAnsi="Arial"/>
          <w:sz w:val="18"/>
          <w:szCs w:val="18"/>
          <w:color w:val="auto"/>
        </w:rPr>
      </w:pPr>
      <w:r>
        <w:rPr>
          <w:rFonts w:ascii="Arial" w:cs="Arial" w:eastAsia="Arial" w:hAnsi="Arial"/>
          <w:sz w:val="18"/>
          <w:szCs w:val="18"/>
          <w:color w:val="auto"/>
        </w:rPr>
        <w:t>Lease impairment of $4 million (operating expense)</w:t>
      </w:r>
    </w:p>
    <w:p>
      <w:pPr>
        <w:spacing w:after="0" w:line="9" w:lineRule="exact"/>
        <w:rPr>
          <w:rFonts w:ascii="Arial" w:cs="Arial" w:eastAsia="Arial" w:hAnsi="Arial"/>
          <w:sz w:val="18"/>
          <w:szCs w:val="18"/>
          <w:color w:val="auto"/>
        </w:rPr>
      </w:pPr>
    </w:p>
    <w:p>
      <w:pPr>
        <w:ind w:left="332" w:right="40" w:hanging="332"/>
        <w:spacing w:after="0" w:line="250" w:lineRule="auto"/>
        <w:tabs>
          <w:tab w:leader="none" w:pos="322"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for Q3 2026 and YTD 2026 consist primarily of implementation costs to upgrade our ERP system. Amounts for Q3 2025 consist primarily of implementation costs to upgrade our ERP system. Amounts for YTD 2025 consist primarily of employee severance costs from restructuring activities and costs related to the ERP upgrade.</w:t>
      </w:r>
    </w:p>
    <w:p>
      <w:pPr>
        <w:spacing w:after="0" w:line="1" w:lineRule="exact"/>
        <w:rPr>
          <w:rFonts w:ascii="Arial" w:cs="Arial" w:eastAsia="Arial" w:hAnsi="Arial"/>
          <w:sz w:val="18"/>
          <w:szCs w:val="18"/>
          <w:color w:val="auto"/>
        </w:rPr>
      </w:pPr>
    </w:p>
    <w:p>
      <w:pPr>
        <w:ind w:left="312" w:hanging="312"/>
        <w:spacing w:after="0"/>
        <w:tabs>
          <w:tab w:leader="none" w:pos="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consist of realized and unrealized gains and losses and impairments on our investments.</w:t>
      </w:r>
    </w:p>
    <w:p>
      <w:pPr>
        <w:spacing w:after="0" w:line="9" w:lineRule="exact"/>
        <w:rPr>
          <w:rFonts w:ascii="Arial" w:cs="Arial" w:eastAsia="Arial" w:hAnsi="Arial"/>
          <w:sz w:val="18"/>
          <w:szCs w:val="18"/>
          <w:color w:val="auto"/>
        </w:rPr>
      </w:pPr>
    </w:p>
    <w:p>
      <w:pPr>
        <w:ind w:left="312" w:hanging="312"/>
        <w:spacing w:after="0"/>
        <w:tabs>
          <w:tab w:leader="none" w:pos="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consists of $3 million for costs related to board membership changes and $2 million for a legal accrual.</w:t>
      </w:r>
    </w:p>
    <w:p>
      <w:pPr>
        <w:spacing w:after="0" w:line="9" w:lineRule="exact"/>
        <w:rPr>
          <w:rFonts w:ascii="Arial" w:cs="Arial" w:eastAsia="Arial" w:hAnsi="Arial"/>
          <w:sz w:val="18"/>
          <w:szCs w:val="18"/>
          <w:color w:val="auto"/>
        </w:rPr>
      </w:pPr>
    </w:p>
    <w:p>
      <w:pPr>
        <w:ind w:left="332" w:right="140" w:hanging="332"/>
        <w:spacing w:after="0" w:line="250" w:lineRule="auto"/>
        <w:tabs>
          <w:tab w:leader="none" w:pos="322"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represent the aggregate of the difference between book and tax accounting related to stock-based compensation cost and the tax impact related to non-GAAP adjustments. Amounts for Q3 2025 and YTD 2025 also include a one-time $42 million valuation allowance adjustment recorded in Q3 2025 against deferred tax assets associated with certain U.S. foreign tax credits as a result of the U.S. tax legislation that was signed on July 4, 2025.</w:t>
      </w:r>
    </w:p>
    <w:p>
      <w:pPr>
        <w:spacing w:after="0" w:line="1" w:lineRule="exact"/>
        <w:rPr>
          <w:rFonts w:ascii="Arial" w:cs="Arial" w:eastAsia="Arial" w:hAnsi="Arial"/>
          <w:sz w:val="18"/>
          <w:szCs w:val="18"/>
          <w:color w:val="auto"/>
        </w:rPr>
      </w:pPr>
    </w:p>
    <w:p>
      <w:pPr>
        <w:ind w:left="332" w:right="80" w:hanging="332"/>
        <w:spacing w:after="0" w:line="258" w:lineRule="auto"/>
        <w:tabs>
          <w:tab w:leader="none" w:pos="33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represent the impacts of IEEPA tariff refunds, consisting primarily of the $79 million benefit recognized as a reduction to cost of revenue in Q3 2026 and the related reduction to revenue of $37 million for the portion of tariff refunds that we expect to credit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sectPr>
      <w:pgSz w:w="11900" w:h="16838" w:orient="portrait"/>
      <w:cols w:equalWidth="0" w:num="1">
        <w:col w:w="11232"/>
      </w:cols>
      <w:pgMar w:left="328" w:top="8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lvl w:ilvl="1">
      <w:lvlJc w:val="left"/>
      <w:lvlText w:val="•"/>
      <w:numFmt w:val="bullet"/>
      <w:start w:val="1"/>
    </w:lvl>
  </w:abstractNum>
  <w:abstractNum w:abstractNumId="7">
    <w:nsid w:val="7545E146"/>
    <w:multiLevelType w:val="hybridMultilevel"/>
    <w:lvl w:ilvl="0">
      <w:lvlJc w:val="left"/>
      <w:lvlText w:val="(%1)"/>
      <w:numFmt w:val="lowerLetter"/>
      <w:start w:val="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2026-10-29T15:22:39Z</dcterms:created>
  <dcterms:modified xsi:type="dcterms:W3CDTF">2026-10-29T15:22:39Z</dcterms:modified>
</cp:coreProperties>
</file>