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Meister Keith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5200 ILLUMINA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ILLUMINA, INC.</w:t>
              </w:r>
            </w:hyperlink>
            <w:r>
              <w:rPr/>
              <w:t xml:space="preserve"> [ </w:t>
            </w:r>
            <w:r>
              <w:rPr>
                <w:rFonts w:ascii="Times;serif" w:hAnsi="Times;serif"/>
                <w:color w:val="0000FF"/>
                <w:sz w:val="24"/>
                <w:shd w:fill="FFFFFF" w:val="clear"/>
              </w:rPr>
              <w:t>ILMN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22"/>
        <w:gridCol w:w="791"/>
        <w:gridCol w:w="612"/>
        <w:gridCol w:w="345"/>
        <w:gridCol w:w="779"/>
        <w:gridCol w:w="434"/>
        <w:gridCol w:w="1041"/>
        <w:gridCol w:w="1137"/>
        <w:gridCol w:w="982"/>
        <w:gridCol w:w="104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w:t>
            </w:r>
            <w:r>
              <w:rPr>
                <w:rFonts w:ascii="Times;serif" w:hAnsi="Times;serif"/>
                <w:color w:val="008000"/>
                <w:position w:val="7"/>
                <w:sz w:val="16"/>
                <w:sz w:val="20"/>
                <w:shd w:fill="FFFFFF" w:val="clear"/>
              </w:rPr>
              <w:t>(1)</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219.8037</w:t>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6,887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770,350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Meister elected to receive 100% of his 2026 board and committee cash retainer fees in Illumina stock. The number of shares issued in lieu of cash is based on the quotient of (i) the cash compensation otherwise payable for the immediately completed quarter divided by (ii) the volume weighted average closing price per share during the immediately completed quarter, calculated by reference to each trading day during such quarter. The amount reported on this Form represents Mr. Meister's 3rd quarter 2026 retainer fees.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of Illumina, Inc. are held for the accounts of certain private investment funds (collectively, the "Corvex Funds") for which Corvex Management LP ("Corvex") acts as investment adviser, including Corvex Master Fund LP and Corvex Select Equity Master Fund LP. The general partner of Corvex is controlled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Robert Maynes for Keith Meister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7631" TargetMode="External"/><Relationship Id="rId5" Type="http://schemas.openxmlformats.org/officeDocument/2006/relationships/hyperlink" Target="http://www.sec.gov/cgi-bin/browse-edgar?action=getcompany&amp;CIK=00011108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704</Words>
  <Characters>3809</Characters>
  <CharactersWithSpaces>4442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