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June 28, 2026 </w:t>
      </w:r>
    </w:p>
    <w:tbl>
      <w:tblPr>
        <w:tblW w:w="9507" w:type="dxa"/>
        <w:jc w:val="left"/>
        <w:tblInd w:w="0" w:type="dxa"/>
        <w:tblLayout w:type="fixed"/>
        <w:tblCellMar>
          <w:top w:w="28" w:type="dxa"/>
          <w:left w:w="28" w:type="dxa"/>
          <w:bottom w:w="28" w:type="dxa"/>
          <w:right w:w="28" w:type="dxa"/>
        </w:tblCellMar>
      </w:tblPr>
      <w:tblGrid>
        <w:gridCol w:w="124"/>
        <w:gridCol w:w="109"/>
        <w:gridCol w:w="109"/>
        <w:gridCol w:w="2683"/>
        <w:gridCol w:w="2683"/>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pPr>
      <w:r>
        <w:rPr>
          <w:rFonts w:ascii="Times New Roman;serif" w:hAnsi="Times New Roman;serif"/>
          <w:b/>
          <w:color w:val="000000"/>
          <w:sz w:val="20"/>
        </w:rPr>
        <w:t>Commission File Number 001-35406</w:t>
      </w:r>
      <w:r>
        <w:rPr>
          <w:color w:val="000000"/>
        </w:rPr>
        <w:t> </w:t>
      </w:r>
    </w:p>
    <w:p>
      <w:pPr>
        <w:pStyle w:val="TextBody"/>
        <w:bidi w:val="0"/>
        <w:spacing w:before="0" w:after="0"/>
        <w:jc w:val="center"/>
        <w:rPr/>
      </w:pPr>
      <w:r>
        <w:rPr/>
        <w:drawing>
          <wp:inline distT="0" distB="0" distL="0" distR="0">
            <wp:extent cx="20955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514350"/>
                    </a:xfrm>
                    <a:prstGeom prst="rect">
                      <a:avLst/>
                    </a:prstGeom>
                  </pic:spPr>
                </pic:pic>
              </a:graphicData>
            </a:graphic>
          </wp:inline>
        </w:drawing>
      </w:r>
      <w:bookmarkStart w:id="0" w:name="i-1"/>
      <w:bookmarkEnd w:id="0"/>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Illumina, Inc.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7271" w:type="dxa"/>
        <w:jc w:val="left"/>
        <w:tblInd w:w="0" w:type="dxa"/>
        <w:tblLayout w:type="fixed"/>
        <w:tblCellMar>
          <w:top w:w="28" w:type="dxa"/>
          <w:left w:w="28" w:type="dxa"/>
          <w:bottom w:w="28" w:type="dxa"/>
          <w:right w:w="28" w:type="dxa"/>
        </w:tblCellMar>
      </w:tblPr>
      <w:tblGrid>
        <w:gridCol w:w="1562"/>
        <w:gridCol w:w="1371"/>
        <w:gridCol w:w="1387"/>
        <w:gridCol w:w="109"/>
        <w:gridCol w:w="109"/>
        <w:gridCol w:w="109"/>
        <w:gridCol w:w="766"/>
        <w:gridCol w:w="766"/>
        <w:gridCol w:w="1092"/>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33-0804655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5200 Illumina Way, San Diego, CA 92122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(858) 202-4500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933" w:type="dxa"/>
        <w:jc w:val="left"/>
        <w:tblInd w:w="0" w:type="dxa"/>
        <w:tblLayout w:type="fixed"/>
        <w:tblCellMar>
          <w:top w:w="28" w:type="dxa"/>
          <w:left w:w="28" w:type="dxa"/>
          <w:bottom w:w="28" w:type="dxa"/>
          <w:right w:w="28" w:type="dxa"/>
        </w:tblCellMar>
      </w:tblPr>
      <w:tblGrid>
        <w:gridCol w:w="872"/>
        <w:gridCol w:w="767"/>
        <w:gridCol w:w="775"/>
        <w:gridCol w:w="564"/>
        <w:gridCol w:w="564"/>
        <w:gridCol w:w="566"/>
        <w:gridCol w:w="1118"/>
        <w:gridCol w:w="1118"/>
        <w:gridCol w:w="1589"/>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ILMN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180" w:after="283"/>
        <w:ind w:left="0" w:right="0" w:firstLine="45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8"/>
        <w:gridCol w:w="525"/>
        <w:gridCol w:w="527"/>
        <w:gridCol w:w="109"/>
        <w:gridCol w:w="109"/>
        <w:gridCol w:w="109"/>
        <w:gridCol w:w="420"/>
        <w:gridCol w:w="420"/>
        <w:gridCol w:w="421"/>
        <w:gridCol w:w="109"/>
        <w:gridCol w:w="109"/>
        <w:gridCol w:w="109"/>
        <w:gridCol w:w="522"/>
        <w:gridCol w:w="522"/>
        <w:gridCol w:w="524"/>
        <w:gridCol w:w="109"/>
        <w:gridCol w:w="109"/>
        <w:gridCol w:w="109"/>
        <w:gridCol w:w="675"/>
        <w:gridCol w:w="675"/>
        <w:gridCol w:w="676"/>
        <w:gridCol w:w="109"/>
        <w:gridCol w:w="109"/>
        <w:gridCol w:w="109"/>
        <w:gridCol w:w="671"/>
        <w:gridCol w:w="671"/>
        <w:gridCol w:w="674"/>
        <w:gridCol w:w="109"/>
        <w:gridCol w:w="109"/>
        <w:gridCol w:w="158"/>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r>
    </w:tbl>
    <w:p>
      <w:pPr>
        <w:pStyle w:val="TextBody"/>
        <w:bidi w:val="0"/>
        <w:spacing w:lineRule="auto" w:line="288" w:before="80" w:after="283"/>
        <w:ind w:left="0" w:right="0" w:firstLine="45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80" w:after="283"/>
        <w:ind w:left="0" w:right="0" w:firstLine="45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180" w:after="283"/>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As of July 24, 2026, there were 151.0 million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FISCAL QUARTER ENDED JUNE 28, 2026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0" w:after="0"/>
        <w:jc w:val="left"/>
        <w:rPr/>
      </w:pPr>
      <w:r>
        <w:rPr/>
      </w:r>
    </w:p>
    <w:p>
      <w:pPr>
        <w:pStyle w:val="TextBody"/>
        <w:bidi w:val="0"/>
        <w:spacing w:before="0" w:after="0"/>
        <w:jc w:val="left"/>
        <w:rPr/>
      </w:pPr>
      <w:r>
        <w:rPr/>
      </w:r>
    </w:p>
    <w:tbl>
      <w:tblPr>
        <w:tblW w:w="6795" w:type="dxa"/>
        <w:jc w:val="left"/>
        <w:tblInd w:w="0" w:type="dxa"/>
        <w:tblLayout w:type="fixed"/>
        <w:tblCellMar>
          <w:top w:w="28" w:type="dxa"/>
          <w:left w:w="28" w:type="dxa"/>
          <w:bottom w:w="28" w:type="dxa"/>
          <w:right w:w="28" w:type="dxa"/>
        </w:tblCellMar>
      </w:tblPr>
      <w:tblGrid>
        <w:gridCol w:w="2208"/>
        <w:gridCol w:w="1937"/>
        <w:gridCol w:w="1944"/>
        <w:gridCol w:w="206"/>
        <w:gridCol w:w="206"/>
        <w:gridCol w:w="294"/>
      </w:tblGrid>
      <w:tr>
        <w:trPr/>
        <w:tc>
          <w:tcPr>
            <w:tcW w:w="220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CONDENSED CONSOLIDATED FINANCIAL STATEMENTS</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PAGE</w:t>
            </w:r>
          </w:p>
        </w:tc>
      </w:tr>
      <w:tr>
        <w:trPr/>
        <w:tc>
          <w:tcPr>
            <w:tcW w:w="6089" w:type="dxa"/>
            <w:gridSpan w:val="3"/>
            <w:tcBorders>
              <w:top w:val="single" w:sz="8" w:space="0" w:color="FFB441"/>
            </w:tcBorders>
            <w:tcMar>
              <w:top w:w="52" w:type="dxa"/>
              <w:left w:w="0" w:type="dxa"/>
              <w:bottom w:w="0" w:type="dxa"/>
              <w:right w:w="0" w:type="dxa"/>
            </w:tcMar>
            <w:vAlign w:val="center"/>
          </w:tcPr>
          <w:p>
            <w:pPr>
              <w:pStyle w:val="TableContents"/>
              <w:bidi w:val="0"/>
              <w:spacing w:lineRule="auto" w:line="240" w:before="240" w:after="283"/>
              <w:jc w:val="left"/>
              <w:rPr/>
            </w:pPr>
            <w:hyperlink w:anchor="id13d7d1498ca40b9b8840c98b90cc42c_16">
              <w:r>
                <w:rPr>
                  <w:rStyle w:val="InternetLink"/>
                  <w:rFonts w:ascii="Arial;sans-serif" w:hAnsi="Arial;sans-serif"/>
                  <w:b w:val="false"/>
                  <w:color w:val="070DFF"/>
                  <w:sz w:val="20"/>
                  <w:u w:val="single"/>
                </w:rPr>
                <w:t>Condensed Consolidated Balance Sheets</w:t>
              </w:r>
            </w:hyperlink>
          </w:p>
        </w:tc>
        <w:tc>
          <w:tcPr>
            <w:tcW w:w="706" w:type="dxa"/>
            <w:gridSpan w:val="3"/>
            <w:tcBorders>
              <w:top w:val="single" w:sz="8" w:space="0" w:color="FFB441"/>
            </w:tcBorders>
            <w:tcMar>
              <w:top w:w="52" w:type="dxa"/>
              <w:left w:w="0" w:type="dxa"/>
              <w:bottom w:w="0" w:type="dxa"/>
              <w:right w:w="0" w:type="dxa"/>
            </w:tcMar>
            <w:vAlign w:val="center"/>
          </w:tcPr>
          <w:p>
            <w:pPr>
              <w:pStyle w:val="TableContents"/>
              <w:bidi w:val="0"/>
              <w:spacing w:lineRule="auto" w:line="240" w:before="240" w:after="283"/>
              <w:jc w:val="right"/>
              <w:rPr/>
            </w:pPr>
            <w:hyperlink w:anchor="id13d7d1498ca40b9b8840c98b90cc42c_16">
              <w:r>
                <w:rPr>
                  <w:rStyle w:val="InternetLink"/>
                  <w:rFonts w:ascii="Arial;sans-serif" w:hAnsi="Arial;sans-serif"/>
                  <w:b w:val="false"/>
                  <w:color w:val="070DFF"/>
                  <w:sz w:val="20"/>
                  <w:u w:val="single"/>
                </w:rPr>
                <w:t>5</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9">
              <w:r>
                <w:rPr>
                  <w:rStyle w:val="InternetLink"/>
                  <w:rFonts w:ascii="Arial;sans-serif" w:hAnsi="Arial;sans-serif"/>
                  <w:b w:val="false"/>
                  <w:color w:val="0000FF"/>
                  <w:sz w:val="20"/>
                  <w:u w:val="single"/>
                </w:rPr>
                <w:t>Condensed Consolidated Statements of Operations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9">
              <w:r>
                <w:rPr>
                  <w:rStyle w:val="InternetLink"/>
                  <w:rFonts w:ascii="Arial;sans-serif" w:hAnsi="Arial;sans-serif"/>
                  <w:b w:val="false"/>
                  <w:color w:val="070DFF"/>
                  <w:sz w:val="20"/>
                  <w:u w:val="single"/>
                </w:rPr>
                <w:t>6</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22">
              <w:r>
                <w:rPr>
                  <w:rStyle w:val="InternetLink"/>
                  <w:rFonts w:ascii="Arial;sans-serif" w:hAnsi="Arial;sans-serif"/>
                  <w:b w:val="false"/>
                  <w:color w:val="0000FF"/>
                  <w:sz w:val="20"/>
                  <w:u w:val="single"/>
                </w:rPr>
                <w:t>Condensed Consolidated Statements of Comprehensive Income</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22">
              <w:r>
                <w:rPr>
                  <w:rStyle w:val="InternetLink"/>
                  <w:rFonts w:ascii="Arial;sans-serif" w:hAnsi="Arial;sans-serif"/>
                  <w:b w:val="false"/>
                  <w:color w:val="070DFF"/>
                  <w:sz w:val="20"/>
                  <w:u w:val="single"/>
                </w:rPr>
                <w:t>7</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25">
              <w:r>
                <w:rPr>
                  <w:rStyle w:val="InternetLink"/>
                  <w:rFonts w:ascii="Arial;sans-serif" w:hAnsi="Arial;sans-serif"/>
                  <w:b w:val="false"/>
                  <w:color w:val="000080"/>
                  <w:sz w:val="20"/>
                  <w:u w:val="single"/>
                </w:rPr>
                <w:t>Condensed Consolidated Statement</w:t>
              </w:r>
            </w:hyperlink>
            <w:hyperlink w:anchor="id13d7d1498ca40b9b8840c98b90cc42c_25">
              <w:r>
                <w:rPr>
                  <w:rStyle w:val="InternetLink"/>
                  <w:rFonts w:ascii="Arial;sans-serif" w:hAnsi="Arial;sans-serif"/>
                  <w:b w:val="false"/>
                  <w:color w:val="000080"/>
                  <w:sz w:val="20"/>
                  <w:u w:val="single"/>
                </w:rPr>
                <w:t xml:space="preserve">s </w:t>
              </w:r>
            </w:hyperlink>
            <w:hyperlink w:anchor="id13d7d1498ca40b9b8840c98b90cc42c_25">
              <w:r>
                <w:rPr>
                  <w:rStyle w:val="InternetLink"/>
                  <w:rFonts w:ascii="Arial;sans-serif" w:hAnsi="Arial;sans-serif"/>
                  <w:b w:val="false"/>
                  <w:color w:val="000080"/>
                  <w:sz w:val="20"/>
                  <w:u w:val="single"/>
                </w:rPr>
                <w:t>of Stockholders’ Equity</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25">
              <w:r>
                <w:rPr>
                  <w:rStyle w:val="InternetLink"/>
                  <w:rFonts w:ascii="Arial;sans-serif" w:hAnsi="Arial;sans-serif"/>
                  <w:b w:val="false"/>
                  <w:color w:val="070DFF"/>
                  <w:sz w:val="20"/>
                  <w:u w:val="single"/>
                </w:rPr>
                <w:t>8</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28">
              <w:r>
                <w:rPr>
                  <w:rStyle w:val="InternetLink"/>
                  <w:rFonts w:ascii="Arial;sans-serif" w:hAnsi="Arial;sans-serif"/>
                  <w:b w:val="false"/>
                  <w:color w:val="070DFF"/>
                  <w:sz w:val="20"/>
                  <w:u w:val="single"/>
                </w:rPr>
                <w:t>Condensed Consolidated Statements of Cash Flows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28">
              <w:r>
                <w:rPr>
                  <w:rStyle w:val="InternetLink"/>
                  <w:rFonts w:ascii="Arial;sans-serif" w:hAnsi="Arial;sans-serif"/>
                  <w:b w:val="false"/>
                  <w:color w:val="070DFF"/>
                  <w:sz w:val="20"/>
                  <w:u w:val="single"/>
                </w:rPr>
                <w:t>10</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31">
              <w:r>
                <w:rPr>
                  <w:rStyle w:val="InternetLink"/>
                  <w:rFonts w:ascii="Arial;sans-serif" w:hAnsi="Arial;sans-serif"/>
                  <w:b w:val="false"/>
                  <w:color w:val="070DFF"/>
                  <w:sz w:val="20"/>
                  <w:u w:val="single"/>
                </w:rPr>
                <w:t>Notes to Condensed Consolidated Financial Statements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31">
              <w:r>
                <w:rPr>
                  <w:rStyle w:val="InternetLink"/>
                  <w:rFonts w:ascii="Arial;sans-serif" w:hAnsi="Arial;sans-serif"/>
                  <w:b w:val="false"/>
                  <w:color w:val="070DFF"/>
                  <w:sz w:val="20"/>
                  <w:u w:val="single"/>
                </w:rPr>
                <w:t>11</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34">
              <w:r>
                <w:rPr>
                  <w:rStyle w:val="InternetLink"/>
                  <w:rFonts w:ascii="Arial;sans-serif" w:hAnsi="Arial;sans-serif"/>
                  <w:b w:val="false"/>
                  <w:color w:val="070DFF"/>
                  <w:sz w:val="20"/>
                  <w:u w:val="single"/>
                </w:rPr>
                <w:t>1. Organization and Significant Accounting Policies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34">
              <w:r>
                <w:rPr>
                  <w:rStyle w:val="InternetLink"/>
                  <w:rFonts w:ascii="Arial;sans-serif" w:hAnsi="Arial;sans-serif"/>
                  <w:b w:val="false"/>
                  <w:color w:val="070DFF"/>
                  <w:sz w:val="20"/>
                  <w:u w:val="single"/>
                </w:rPr>
                <w:t>11</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40">
              <w:r>
                <w:rPr>
                  <w:rStyle w:val="InternetLink"/>
                  <w:rFonts w:ascii="Arial;sans-serif" w:hAnsi="Arial;sans-serif"/>
                  <w:b w:val="false"/>
                  <w:color w:val="0000FF"/>
                  <w:sz w:val="20"/>
                  <w:u w:val="single"/>
                </w:rPr>
                <w:t>2. Acquisitions, Intangible Assets and Goodwill</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40">
              <w:r>
                <w:rPr>
                  <w:rStyle w:val="InternetLink"/>
                  <w:rFonts w:ascii="Arial;sans-serif" w:hAnsi="Arial;sans-serif"/>
                  <w:b w:val="false"/>
                  <w:color w:val="070DFF"/>
                  <w:sz w:val="20"/>
                  <w:u w:val="single"/>
                </w:rPr>
                <w:t>13</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70DFF"/>
                <w:sz w:val="20"/>
                <w:u w:val="single"/>
              </w:rPr>
              <w:t>3</w:t>
            </w:r>
            <w:hyperlink w:anchor="id13d7d1498ca40b9b8840c98b90cc42c_46">
              <w:r>
                <w:rPr>
                  <w:rStyle w:val="InternetLink"/>
                  <w:rFonts w:ascii="Arial;sans-serif" w:hAnsi="Arial;sans-serif"/>
                  <w:b w:val="false"/>
                  <w:color w:val="000080"/>
                  <w:sz w:val="20"/>
                  <w:u w:val="single"/>
                </w:rPr>
                <w:t>. Revenue</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46">
              <w:r>
                <w:rPr>
                  <w:rStyle w:val="InternetLink"/>
                  <w:rFonts w:ascii="Arial;sans-serif" w:hAnsi="Arial;sans-serif"/>
                  <w:b w:val="false"/>
                  <w:color w:val="070DFF"/>
                  <w:sz w:val="20"/>
                  <w:u w:val="single"/>
                </w:rPr>
                <w:t>16</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52">
              <w:r>
                <w:rPr>
                  <w:rStyle w:val="InternetLink"/>
                  <w:rFonts w:ascii="Arial;sans-serif" w:hAnsi="Arial;sans-serif"/>
                  <w:b w:val="false"/>
                  <w:color w:val="070DFF"/>
                  <w:sz w:val="20"/>
                  <w:u w:val="single"/>
                </w:rPr>
                <w:t>4. Investments and Fair Value Measurements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52">
              <w:r>
                <w:rPr>
                  <w:rStyle w:val="InternetLink"/>
                  <w:rFonts w:ascii="Arial;sans-serif" w:hAnsi="Arial;sans-serif"/>
                  <w:b w:val="false"/>
                  <w:color w:val="070DFF"/>
                  <w:sz w:val="20"/>
                  <w:u w:val="single"/>
                </w:rPr>
                <w:t>17</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61">
              <w:r>
                <w:rPr>
                  <w:rStyle w:val="InternetLink"/>
                  <w:rFonts w:ascii="Arial;sans-serif" w:hAnsi="Arial;sans-serif"/>
                  <w:b w:val="false"/>
                  <w:color w:val="0000FF"/>
                  <w:sz w:val="20"/>
                  <w:u w:val="single"/>
                </w:rPr>
                <w:t>5. Debt</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61">
              <w:r>
                <w:rPr>
                  <w:rStyle w:val="InternetLink"/>
                  <w:rFonts w:ascii="Arial;sans-serif" w:hAnsi="Arial;sans-serif"/>
                  <w:b w:val="false"/>
                  <w:color w:val="070DFF"/>
                  <w:sz w:val="20"/>
                  <w:u w:val="single"/>
                </w:rPr>
                <w:t>20</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67">
              <w:r>
                <w:rPr>
                  <w:rStyle w:val="InternetLink"/>
                  <w:rFonts w:ascii="Arial;sans-serif" w:hAnsi="Arial;sans-serif"/>
                  <w:b w:val="false"/>
                  <w:color w:val="0000FF"/>
                  <w:sz w:val="20"/>
                  <w:u w:val="single"/>
                </w:rPr>
                <w:t>6. Stockholders’ Equity</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67">
              <w:r>
                <w:rPr>
                  <w:rStyle w:val="InternetLink"/>
                  <w:rFonts w:ascii="Arial;sans-serif" w:hAnsi="Arial;sans-serif"/>
                  <w:b w:val="false"/>
                  <w:color w:val="070DFF"/>
                  <w:sz w:val="20"/>
                  <w:u w:val="single"/>
                </w:rPr>
                <w:t>21</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73">
              <w:r>
                <w:rPr>
                  <w:rStyle w:val="InternetLink"/>
                  <w:rFonts w:ascii="Arial;sans-serif" w:hAnsi="Arial;sans-serif"/>
                  <w:b w:val="false"/>
                  <w:color w:val="0000FF"/>
                  <w:sz w:val="20"/>
                  <w:u w:val="single"/>
                </w:rPr>
                <w:t>7. Supplemental Balance Sheet and Statement of Operations Details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73">
              <w:r>
                <w:rPr>
                  <w:rStyle w:val="InternetLink"/>
                  <w:rFonts w:ascii="Arial;sans-serif" w:hAnsi="Arial;sans-serif"/>
                  <w:b w:val="false"/>
                  <w:color w:val="070DFF"/>
                  <w:sz w:val="20"/>
                  <w:u w:val="single"/>
                </w:rPr>
                <w:t>23</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79">
              <w:r>
                <w:rPr>
                  <w:rStyle w:val="InternetLink"/>
                  <w:rFonts w:ascii="Arial;sans-serif" w:hAnsi="Arial;sans-serif"/>
                  <w:b w:val="false"/>
                  <w:color w:val="070DFF"/>
                  <w:sz w:val="20"/>
                  <w:u w:val="single"/>
                </w:rPr>
                <w:t>8. Legal Proceedings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79">
              <w:r>
                <w:rPr>
                  <w:rStyle w:val="InternetLink"/>
                  <w:rFonts w:ascii="Arial;sans-serif" w:hAnsi="Arial;sans-serif"/>
                  <w:b w:val="false"/>
                  <w:color w:val="070DFF"/>
                  <w:sz w:val="20"/>
                  <w:u w:val="single"/>
                </w:rPr>
                <w:t>26</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85">
              <w:r>
                <w:rPr>
                  <w:rStyle w:val="InternetLink"/>
                  <w:rFonts w:ascii="Arial;sans-serif" w:hAnsi="Arial;sans-serif"/>
                  <w:b w:val="false"/>
                  <w:color w:val="070DFF"/>
                  <w:sz w:val="20"/>
                  <w:u w:val="single"/>
                </w:rPr>
                <w:t>9. Income Taxes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85">
              <w:r>
                <w:rPr>
                  <w:rStyle w:val="InternetLink"/>
                  <w:rFonts w:ascii="Arial;sans-serif" w:hAnsi="Arial;sans-serif"/>
                  <w:b w:val="false"/>
                  <w:color w:val="070DFF"/>
                  <w:sz w:val="20"/>
                  <w:u w:val="single"/>
                </w:rPr>
                <w:t>28</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91">
              <w:r>
                <w:rPr>
                  <w:rStyle w:val="InternetLink"/>
                  <w:rFonts w:ascii="Arial;sans-serif" w:hAnsi="Arial;sans-serif"/>
                  <w:b w:val="false"/>
                  <w:color w:val="070DFF"/>
                  <w:sz w:val="20"/>
                  <w:u w:val="single"/>
                </w:rPr>
                <w:t>10. Segment Information</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91">
              <w:r>
                <w:rPr>
                  <w:rStyle w:val="InternetLink"/>
                  <w:rFonts w:ascii="Arial;sans-serif" w:hAnsi="Arial;sans-serif"/>
                  <w:b w:val="false"/>
                  <w:color w:val="070DFF"/>
                  <w:sz w:val="20"/>
                  <w:u w:val="single"/>
                </w:rPr>
                <w:t>29</w:t>
              </w:r>
            </w:hyperlink>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MANAGEMENT’S DISCUSSION &amp; ANALYSIS</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op w:val="single" w:sz="8" w:space="0" w:color="FFB441"/>
            </w:tcBorders>
            <w:tcMar>
              <w:top w:w="52" w:type="dxa"/>
              <w:left w:w="0" w:type="dxa"/>
              <w:bottom w:w="0" w:type="dxa"/>
              <w:right w:w="0" w:type="dxa"/>
            </w:tcMar>
            <w:vAlign w:val="center"/>
          </w:tcPr>
          <w:p>
            <w:pPr>
              <w:pStyle w:val="TableContents"/>
              <w:bidi w:val="0"/>
              <w:spacing w:lineRule="auto" w:line="240" w:before="0" w:after="0"/>
              <w:jc w:val="left"/>
              <w:rPr/>
            </w:pPr>
            <w:hyperlink w:anchor="id13d7d1498ca40b9b8840c98b90cc42c_103">
              <w:r>
                <w:rPr>
                  <w:rStyle w:val="InternetLink"/>
                  <w:rFonts w:ascii="Arial;sans-serif" w:hAnsi="Arial;sans-serif"/>
                  <w:b w:val="false"/>
                  <w:color w:val="070DFF"/>
                  <w:sz w:val="20"/>
                  <w:u w:val="single"/>
                </w:rPr>
                <w:t>Management’s Overview and Outlook</w:t>
              </w:r>
            </w:hyperlink>
          </w:p>
        </w:tc>
        <w:tc>
          <w:tcPr>
            <w:tcW w:w="706" w:type="dxa"/>
            <w:gridSpan w:val="3"/>
            <w:tcBorders>
              <w:top w:val="single" w:sz="8" w:space="0" w:color="FFB441"/>
            </w:tcBorders>
            <w:tcMar>
              <w:top w:w="52" w:type="dxa"/>
              <w:left w:w="0" w:type="dxa"/>
              <w:bottom w:w="0" w:type="dxa"/>
              <w:right w:w="0" w:type="dxa"/>
            </w:tcMar>
            <w:vAlign w:val="center"/>
          </w:tcPr>
          <w:p>
            <w:pPr>
              <w:pStyle w:val="TableContents"/>
              <w:bidi w:val="0"/>
              <w:spacing w:lineRule="auto" w:line="240" w:before="0" w:after="0"/>
              <w:jc w:val="right"/>
              <w:rPr/>
            </w:pPr>
            <w:hyperlink w:anchor="id13d7d1498ca40b9b8840c98b90cc42c_103">
              <w:r>
                <w:rPr>
                  <w:rStyle w:val="InternetLink"/>
                  <w:rFonts w:ascii="Arial;sans-serif" w:hAnsi="Arial;sans-serif"/>
                  <w:b w:val="false"/>
                  <w:color w:val="0000FF"/>
                  <w:sz w:val="20"/>
                  <w:u w:val="single"/>
                </w:rPr>
                <w:t>30</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09">
              <w:r>
                <w:rPr>
                  <w:rStyle w:val="InternetLink"/>
                  <w:rFonts w:ascii="Arial;sans-serif" w:hAnsi="Arial;sans-serif"/>
                  <w:b w:val="false"/>
                  <w:color w:val="070DFF"/>
                  <w:sz w:val="20"/>
                  <w:u w:val="single"/>
                </w:rPr>
                <w:t>Results of Operations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09">
              <w:r>
                <w:rPr>
                  <w:rStyle w:val="InternetLink"/>
                  <w:rFonts w:ascii="Arial;sans-serif" w:hAnsi="Arial;sans-serif"/>
                  <w:b w:val="false"/>
                  <w:color w:val="070DFF"/>
                  <w:sz w:val="20"/>
                  <w:u w:val="single"/>
                </w:rPr>
                <w:t>32</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15">
              <w:r>
                <w:rPr>
                  <w:rStyle w:val="InternetLink"/>
                  <w:rFonts w:ascii="Arial;sans-serif" w:hAnsi="Arial;sans-serif"/>
                  <w:b w:val="false"/>
                  <w:color w:val="070DFF"/>
                  <w:sz w:val="20"/>
                  <w:u w:val="single"/>
                </w:rPr>
                <w:t>Liquidity and Capital Resources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15">
              <w:r>
                <w:rPr>
                  <w:rStyle w:val="InternetLink"/>
                  <w:rFonts w:ascii="Arial;sans-serif" w:hAnsi="Arial;sans-serif"/>
                  <w:b w:val="false"/>
                  <w:color w:val="070DFF"/>
                  <w:sz w:val="20"/>
                  <w:u w:val="single"/>
                </w:rPr>
                <w:t>35</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18">
              <w:r>
                <w:rPr>
                  <w:rStyle w:val="InternetLink"/>
                  <w:rFonts w:ascii="Arial;sans-serif" w:hAnsi="Arial;sans-serif"/>
                  <w:b w:val="false"/>
                  <w:color w:val="070DFF"/>
                  <w:sz w:val="20"/>
                  <w:u w:val="single"/>
                </w:rPr>
                <w:t>Critical Accounting Policies and Estimates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18">
              <w:r>
                <w:rPr>
                  <w:rStyle w:val="InternetLink"/>
                  <w:rFonts w:ascii="Arial;sans-serif" w:hAnsi="Arial;sans-serif"/>
                  <w:b w:val="false"/>
                  <w:color w:val="070DFF"/>
                  <w:sz w:val="20"/>
                  <w:u w:val="single"/>
                </w:rPr>
                <w:t>37</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21">
              <w:r>
                <w:rPr>
                  <w:rStyle w:val="InternetLink"/>
                  <w:rFonts w:ascii="Arial;sans-serif" w:hAnsi="Arial;sans-serif"/>
                  <w:b w:val="false"/>
                  <w:color w:val="070DFF"/>
                  <w:sz w:val="20"/>
                  <w:u w:val="single"/>
                </w:rPr>
                <w:t>Recent Accounting Pronouncements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21">
              <w:r>
                <w:rPr>
                  <w:rStyle w:val="InternetLink"/>
                  <w:rFonts w:ascii="Arial;sans-serif" w:hAnsi="Arial;sans-serif"/>
                  <w:b w:val="false"/>
                  <w:color w:val="070DFF"/>
                  <w:sz w:val="20"/>
                  <w:u w:val="single"/>
                </w:rPr>
                <w:t>37</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24">
              <w:r>
                <w:rPr>
                  <w:rStyle w:val="InternetLink"/>
                  <w:rFonts w:ascii="Arial;sans-serif" w:hAnsi="Arial;sans-serif"/>
                  <w:b w:val="false"/>
                  <w:color w:val="070DFF"/>
                  <w:sz w:val="20"/>
                  <w:u w:val="single"/>
                </w:rPr>
                <w:t>Quantitative and Qualitative Disclosures About Market Risk</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24">
              <w:r>
                <w:rPr>
                  <w:rStyle w:val="InternetLink"/>
                  <w:rFonts w:ascii="Arial;sans-serif" w:hAnsi="Arial;sans-serif"/>
                  <w:b w:val="false"/>
                  <w:color w:val="070DFF"/>
                  <w:sz w:val="20"/>
                  <w:u w:val="single"/>
                </w:rPr>
                <w:t>37</w:t>
              </w:r>
            </w:hyperlink>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OTHER KEY INFORMATION</w:t>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op w:val="single" w:sz="8" w:space="0" w:color="FFB441"/>
            </w:tcBorders>
            <w:tcMar>
              <w:top w:w="52" w:type="dxa"/>
              <w:left w:w="0" w:type="dxa"/>
              <w:bottom w:w="0" w:type="dxa"/>
              <w:right w:w="0" w:type="dxa"/>
            </w:tcMar>
            <w:vAlign w:val="center"/>
          </w:tcPr>
          <w:p>
            <w:pPr>
              <w:pStyle w:val="TableContents"/>
              <w:bidi w:val="0"/>
              <w:spacing w:lineRule="auto" w:line="240" w:before="0" w:after="0"/>
              <w:jc w:val="left"/>
              <w:rPr/>
            </w:pPr>
            <w:hyperlink w:anchor="id13d7d1498ca40b9b8840c98b90cc42c_127">
              <w:r>
                <w:rPr>
                  <w:rStyle w:val="InternetLink"/>
                  <w:rFonts w:ascii="Arial;sans-serif" w:hAnsi="Arial;sans-serif"/>
                  <w:b w:val="false"/>
                  <w:color w:val="070DFF"/>
                  <w:sz w:val="20"/>
                  <w:u w:val="single"/>
                </w:rPr>
                <w:t>Controls and Procedures</w:t>
              </w:r>
            </w:hyperlink>
          </w:p>
        </w:tc>
        <w:tc>
          <w:tcPr>
            <w:tcW w:w="706" w:type="dxa"/>
            <w:gridSpan w:val="3"/>
            <w:tcBorders>
              <w:top w:val="single" w:sz="8" w:space="0" w:color="FFB441"/>
            </w:tcBorders>
            <w:tcMar>
              <w:top w:w="52" w:type="dxa"/>
              <w:left w:w="0" w:type="dxa"/>
              <w:bottom w:w="0" w:type="dxa"/>
              <w:right w:w="0" w:type="dxa"/>
            </w:tcMar>
            <w:vAlign w:val="center"/>
          </w:tcPr>
          <w:p>
            <w:pPr>
              <w:pStyle w:val="TableContents"/>
              <w:bidi w:val="0"/>
              <w:spacing w:lineRule="auto" w:line="240" w:before="0" w:after="0"/>
              <w:jc w:val="right"/>
              <w:rPr/>
            </w:pPr>
            <w:hyperlink w:anchor="id13d7d1498ca40b9b8840c98b90cc42c_127">
              <w:r>
                <w:rPr>
                  <w:rStyle w:val="InternetLink"/>
                  <w:rFonts w:ascii="Arial;sans-serif" w:hAnsi="Arial;sans-serif"/>
                  <w:b w:val="false"/>
                  <w:color w:val="070DFF"/>
                  <w:sz w:val="20"/>
                  <w:u w:val="single"/>
                </w:rPr>
                <w:t>37</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30">
              <w:r>
                <w:rPr>
                  <w:rStyle w:val="InternetLink"/>
                  <w:rFonts w:ascii="Arial;sans-serif" w:hAnsi="Arial;sans-serif"/>
                  <w:b w:val="false"/>
                  <w:color w:val="070DFF"/>
                  <w:sz w:val="20"/>
                  <w:u w:val="single"/>
                </w:rPr>
                <w:t>Legal Proceedings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30">
              <w:r>
                <w:rPr>
                  <w:rStyle w:val="InternetLink"/>
                  <w:rFonts w:ascii="Arial;sans-serif" w:hAnsi="Arial;sans-serif"/>
                  <w:b w:val="false"/>
                  <w:color w:val="070DFF"/>
                  <w:sz w:val="20"/>
                  <w:u w:val="single"/>
                </w:rPr>
                <w:t>38</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33">
              <w:r>
                <w:rPr>
                  <w:rStyle w:val="InternetLink"/>
                  <w:rFonts w:ascii="Arial;sans-serif" w:hAnsi="Arial;sans-serif"/>
                  <w:b w:val="false"/>
                  <w:color w:val="070DFF"/>
                  <w:sz w:val="20"/>
                  <w:u w:val="single"/>
                </w:rPr>
                <w:t>Risk Factors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33">
              <w:r>
                <w:rPr>
                  <w:rStyle w:val="InternetLink"/>
                  <w:rFonts w:ascii="Arial;sans-serif" w:hAnsi="Arial;sans-serif"/>
                  <w:b w:val="false"/>
                  <w:color w:val="070DFF"/>
                  <w:sz w:val="20"/>
                  <w:u w:val="single"/>
                </w:rPr>
                <w:t>38</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36">
              <w:r>
                <w:rPr>
                  <w:rStyle w:val="InternetLink"/>
                  <w:rFonts w:ascii="Arial;sans-serif" w:hAnsi="Arial;sans-serif"/>
                  <w:b w:val="false"/>
                  <w:color w:val="070DFF"/>
                  <w:sz w:val="20"/>
                  <w:u w:val="single"/>
                </w:rPr>
                <w:t>Share Repurchases and Sales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36">
              <w:r>
                <w:rPr>
                  <w:rStyle w:val="InternetLink"/>
                  <w:rFonts w:ascii="Arial;sans-serif" w:hAnsi="Arial;sans-serif"/>
                  <w:b w:val="false"/>
                  <w:color w:val="070DFF"/>
                  <w:sz w:val="20"/>
                  <w:u w:val="single"/>
                </w:rPr>
                <w:t>38</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39">
              <w:r>
                <w:rPr>
                  <w:rStyle w:val="InternetLink"/>
                  <w:rFonts w:ascii="Arial;sans-serif" w:hAnsi="Arial;sans-serif"/>
                  <w:b w:val="false"/>
                  <w:color w:val="0000FF"/>
                  <w:sz w:val="20"/>
                  <w:u w:val="single"/>
                </w:rPr>
                <w:t>Adoptions, Modifications or Terminations of Trading Plans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39">
              <w:r>
                <w:rPr>
                  <w:rStyle w:val="InternetLink"/>
                  <w:rFonts w:ascii="Arial;sans-serif" w:hAnsi="Arial;sans-serif"/>
                  <w:b w:val="false"/>
                  <w:color w:val="070DFF"/>
                  <w:sz w:val="20"/>
                  <w:u w:val="single"/>
                </w:rPr>
                <w:t>39</w:t>
              </w:r>
            </w:hyperlink>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45">
              <w:r>
                <w:rPr>
                  <w:rStyle w:val="InternetLink"/>
                  <w:rFonts w:ascii="Arial;sans-serif" w:hAnsi="Arial;sans-serif"/>
                  <w:b w:val="false"/>
                  <w:color w:val="070DFF"/>
                  <w:sz w:val="20"/>
                  <w:u w:val="single"/>
                </w:rPr>
                <w:t>Exhibits</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45">
              <w:r>
                <w:rPr>
                  <w:rStyle w:val="InternetLink"/>
                  <w:rFonts w:ascii="Arial;sans-serif" w:hAnsi="Arial;sans-serif"/>
                  <w:b w:val="false"/>
                  <w:color w:val="070DFF"/>
                  <w:sz w:val="20"/>
                  <w:u w:val="single"/>
                </w:rPr>
                <w:t>39</w:t>
              </w:r>
            </w:hyperlink>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48">
              <w:r>
                <w:rPr>
                  <w:rStyle w:val="InternetLink"/>
                  <w:rFonts w:ascii="Arial;sans-serif" w:hAnsi="Arial;sans-serif"/>
                  <w:b w:val="false"/>
                  <w:color w:val="070DFF"/>
                  <w:sz w:val="20"/>
                  <w:u w:val="single"/>
                </w:rPr>
                <w:t>Form 10-Q Cross-Reference Index</w:t>
              </w:r>
            </w:hyperlink>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48">
              <w:r>
                <w:rPr>
                  <w:rStyle w:val="InternetLink"/>
                  <w:rFonts w:ascii="Arial;sans-serif" w:hAnsi="Arial;sans-serif"/>
                  <w:b w:val="false"/>
                  <w:color w:val="070DFF"/>
                  <w:sz w:val="20"/>
                  <w:u w:val="single"/>
                </w:rPr>
                <w:t>40</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“Form 10-Q Cross-Reference Index” within the Other Key Information section for a cross-reference to the parts and items requirements of the Securities and Exchange Commission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Consideration Regarding Forward-Looking Statements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This Quarterly Report on Form 10-Q contains, and our officers and representatives may from time to time make, “forward-looking statements” within the meaning of the safe harbor provisions of the U.S. Private Securities Litigation Reform Act of 1995. Words such as: “anticipate,” “intend,” “plan,” “goal,” “seek,” “believe,” “continue,” “project,” “estimate,” “expect,” “strategy,” “future,” “likely,” “may,” “potential,” “predict,” “should,” “will,” or similar words or phrases, or the negatives of these words, may identify forward-looking statements, but the absence of these words does not necessarily mean that a statement is not forward-looking. Examples of forward-looking statements include, among others, statements we make regarding:</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expectations as to our future financial performance, results of operations, or other operational results or metrics;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the benefits that we expect will result from our business activities and certain transactions we have completed, or may complete, such as product introductions, increased revenue, decreased expenses, and avoided expenses and expenditures;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our expectations of the effect on our financial condition of claims, litigation, contingent liabilities, and governmental investigations, proceedings, and regulations;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strategies or expectations for product development, market position, financial results, and reserves;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successfully implement cost reduction plans in a timely manner and the possibility that costs associated with our cost reduction plans are greater than we anticipate;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expectations related to the acquisition of SomaLogic, Inc. (SomaLogic) and certain other assets from Standard BioTools Inc. (Standard BioTools), including the future conduct and growth of the SomaLogic business and the proteomics market and our ability to successfully integrate SomaLogic into our existing operations and SomaLogic’s technology and products into our portfolio;</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estimate of the cost impact on Illumina of the tariffs announced by the U.S. government and other countries beginning in April 2025, including any potential refunds of such tariffs;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other expectations, beliefs, plans, strategies, anticipated developments, and other matters that are not historical facts.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expectations and beliefs regarding prospects and growth for our business and the markets in which we operate;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timing and mix of customer orders among our products and services;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challenges inherent in developing, manufacturing, and launching new products and services, including expanding manufacturing operations and reliance on third-party suppliers for critical components;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uncertainty regarding the impact of our inclusion on the “unreliable entities list” by regulatory authorities in China;</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any reductions or potential reductions in funding for the National Institutes of Health (NIH), or targeted cancellations by the U.S. federal government of certain grants or contracts that could negatively impact our customers and reduce demand for our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impact of recently launched or pre-announced products and services on existing products and services;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uncertainty regarding, or potential changes in, diplomatic and trade relationships, for example, as a result of changes in the U.S. government administration;</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risks and uncertainties regarding legal and regulatory proceedings;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uncertainty regarding the impact of tariffs imposed by the U.S. government and its trading partners in response, related court proceedings or administrative actions (including potential refund or relief programs), other possible tariffs or trade protection measures, import or export licensing requirements, new or different customs duties, trade embargoes and sanctions and other trade barriers, as well as the impact of Illumina’s efforts to mitigate the effect of such tariffs;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risks associated with contracts or other agreements containing provisions that might be implicated by the divestiture of GRAIL, Inc. (f/k/a GRAIL, LLC) (GRAIL), including our ability to fully realize the anticipated economic benefits of our commercial arrangements with GRAIL and our obligations with respect to contingent value rights (the CVRs) issued by us in connection with the GRAIL acquisition, which may adversely affect us and our business and/or the market value of the CVRs;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risk of additional litigation arising against us in connection with the GRAIL acquisition;</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successfully integrate SomaLogic into our existing operations and SomaLogic’s technology and products into our portfolio;</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assumptions underlying our critical accounting policies and estimates;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assessments and estimates used to determine our expected effective tax rate;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assessments and beliefs regarding the outcome of pending legal proceedings and any liability that we may incur as a result of those proceedings, as well as the cost and potential diversion of management resources associated with these proceedings;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uncertainty, or adverse economic and business conditions, including as a result of slowing or uncertain economic growth, competitive landscape, public health crisis, or armed conflict;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other factors detailed in our filings with the Securities and Exchange Commission (SEC), including the risks, uncertainties, and assumptions described in “Risk Factors” within the Business &amp; Market Information section of our Annual Report on Form </w:t>
      </w:r>
      <w:hyperlink r:id="rId3">
        <w:r>
          <w:rPr>
            <w:rStyle w:val="InternetLink"/>
            <w:rFonts w:ascii="Arial;sans-serif" w:hAnsi="Arial;sans-serif"/>
            <w:b w:val="false"/>
            <w:color w:val="0000FF"/>
            <w:sz w:val="20"/>
            <w:u w:val="single"/>
          </w:rPr>
          <w:t>10-K</w:t>
        </w:r>
      </w:hyperlink>
      <w:r>
        <w:rPr>
          <w:color w:val="000000"/>
        </w:rPr>
        <w:t xml:space="preserve"> </w:t>
      </w:r>
      <w:r>
        <w:rPr>
          <w:rFonts w:ascii="Arial;sans-serif" w:hAnsi="Arial;sans-serif"/>
          <w:b w:val="false"/>
          <w:color w:val="000000"/>
          <w:sz w:val="20"/>
        </w:rPr>
        <w:t xml:space="preserve">for the fiscal year ended December 28, 2025, the Other Key Information section of our Quarterly Report on Form </w:t>
      </w:r>
      <w:hyperlink r:id="rId4">
        <w:r>
          <w:rPr>
            <w:rStyle w:val="InternetLink"/>
            <w:rFonts w:ascii="Arial;sans-serif" w:hAnsi="Arial;sans-serif"/>
            <w:b w:val="false"/>
            <w:color w:val="0000FF"/>
            <w:sz w:val="20"/>
            <w:u w:val="single"/>
          </w:rPr>
          <w:t>10-Q</w:t>
        </w:r>
      </w:hyperlink>
      <w:r>
        <w:rPr>
          <w:color w:val="000000"/>
        </w:rPr>
        <w:t xml:space="preserve"> </w:t>
      </w:r>
      <w:r>
        <w:rPr>
          <w:rFonts w:ascii="Arial;sans-serif" w:hAnsi="Arial;sans-serif"/>
          <w:b w:val="false"/>
          <w:color w:val="000000"/>
          <w:sz w:val="20"/>
        </w:rPr>
        <w:t>for the period ended March 29, 2026, the “Risk Factors” section below, or in information disclosed in public conference calls, the date and time of which are released beforehand.</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Any forward-looking statement made by us in this Quarterly Report on Form 10-Q is based only on information currently available to us and speaks only as of the date on which it is made. We undertake no obligation, and do not intend, to publicly update any forward-looking statement, whether written or oral, that may be made from time to time, or to review or confirm analysts’ expectations, or to provide interim reports or updates on the progress of any current financial quarter, in each case whether as a result of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tbl>
      <w:tblPr>
        <w:tblW w:w="6854" w:type="dxa"/>
        <w:jc w:val="center"/>
        <w:tblInd w:w="0" w:type="dxa"/>
        <w:tblLayout w:type="fixed"/>
        <w:tblCellMar>
          <w:top w:w="28" w:type="dxa"/>
          <w:left w:w="28" w:type="dxa"/>
          <w:bottom w:w="28" w:type="dxa"/>
          <w:right w:w="28" w:type="dxa"/>
        </w:tblCellMar>
      </w:tblPr>
      <w:tblGrid>
        <w:gridCol w:w="2193"/>
        <w:gridCol w:w="1927"/>
        <w:gridCol w:w="2734"/>
      </w:tblGrid>
      <w:tr>
        <w:trPr/>
        <w:tc>
          <w:tcPr>
            <w:tcW w:w="219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bottom w:val="single" w:sz="16"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4"/>
              </w:rPr>
            </w:pPr>
            <w:r>
              <w:rPr>
                <w:rFonts w:ascii="Arial;sans-serif" w:hAnsi="Arial;sans-serif"/>
                <w:b/>
                <w:color w:val="666666"/>
                <w:sz w:val="24"/>
              </w:rPr>
              <w:t>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before="0" w:after="0"/>
        <w:jc w:val="center"/>
        <w:rPr/>
      </w:pPr>
      <w:r>
        <w:rPr/>
      </w:r>
    </w:p>
    <w:tbl>
      <w:tblPr>
        <w:tblW w:w="7150" w:type="dxa"/>
        <w:jc w:val="left"/>
        <w:tblInd w:w="0" w:type="dxa"/>
        <w:tblLayout w:type="fixed"/>
        <w:tblCellMar>
          <w:top w:w="28" w:type="dxa"/>
          <w:left w:w="28" w:type="dxa"/>
          <w:bottom w:w="28" w:type="dxa"/>
          <w:right w:w="28" w:type="dxa"/>
        </w:tblCellMar>
      </w:tblPr>
      <w:tblGrid>
        <w:gridCol w:w="1603"/>
        <w:gridCol w:w="1407"/>
        <w:gridCol w:w="1414"/>
        <w:gridCol w:w="229"/>
        <w:gridCol w:w="702"/>
        <w:gridCol w:w="119"/>
        <w:gridCol w:w="109"/>
        <w:gridCol w:w="109"/>
        <w:gridCol w:w="109"/>
        <w:gridCol w:w="281"/>
        <w:gridCol w:w="862"/>
        <w:gridCol w:w="206"/>
      </w:tblGrid>
      <w:tr>
        <w:trPr/>
        <w:tc>
          <w:tcPr>
            <w:tcW w:w="16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28,</w:t>
              <w:br/>
              <w:t>2025</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12"/>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29"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764</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net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2,834</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3,289 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745</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1,284</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2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6,650</w:t>
            </w:r>
            <w:r>
              <w:rPr>
                <w:color w:val="000000"/>
              </w:rPr>
              <w:t> </w:t>
            </w:r>
          </w:p>
        </w:tc>
        <w:tc>
          <w:tcPr>
            <w:tcW w:w="11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6,644 </w:t>
            </w:r>
          </w:p>
        </w:tc>
        <w:tc>
          <w:tcPr>
            <w:tcW w:w="20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12"/>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AND STOCKHOLDERS’ EQUITY</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29"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debt, current portion</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1,578</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debt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7,933</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Accumulated other comprehensive income (loss) </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 at cost</w:t>
            </w:r>
          </w:p>
        </w:tc>
        <w:tc>
          <w:tcPr>
            <w:tcW w:w="93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(5,054)</w:t>
            </w:r>
          </w:p>
        </w:tc>
        <w:tc>
          <w:tcPr>
            <w:tcW w:w="1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(4,699)</w:t>
            </w:r>
          </w:p>
        </w:tc>
        <w:tc>
          <w:tcPr>
            <w:tcW w:w="20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2,838</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2,723 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2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6,650</w:t>
            </w:r>
            <w:r>
              <w:rPr>
                <w:color w:val="000000"/>
              </w:rPr>
              <w:t> </w:t>
            </w:r>
          </w:p>
        </w:tc>
        <w:tc>
          <w:tcPr>
            <w:tcW w:w="11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6,644 </w:t>
            </w:r>
          </w:p>
        </w:tc>
        <w:tc>
          <w:tcPr>
            <w:tcW w:w="20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except per share amounts)</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8790" w:type="dxa"/>
        <w:jc w:val="center"/>
        <w:tblInd w:w="0" w:type="dxa"/>
        <w:tblLayout w:type="fixed"/>
        <w:tblCellMar>
          <w:top w:w="28" w:type="dxa"/>
          <w:left w:w="28" w:type="dxa"/>
          <w:bottom w:w="28" w:type="dxa"/>
          <w:right w:w="28" w:type="dxa"/>
        </w:tblCellMar>
      </w:tblPr>
      <w:tblGrid>
        <w:gridCol w:w="1487"/>
        <w:gridCol w:w="1309"/>
        <w:gridCol w:w="1314"/>
        <w:gridCol w:w="211"/>
        <w:gridCol w:w="541"/>
        <w:gridCol w:w="109"/>
        <w:gridCol w:w="109"/>
        <w:gridCol w:w="109"/>
        <w:gridCol w:w="109"/>
        <w:gridCol w:w="211"/>
        <w:gridCol w:w="541"/>
        <w:gridCol w:w="109"/>
        <w:gridCol w:w="109"/>
        <w:gridCol w:w="109"/>
        <w:gridCol w:w="109"/>
        <w:gridCol w:w="211"/>
        <w:gridCol w:w="646"/>
        <w:gridCol w:w="109"/>
        <w:gridCol w:w="109"/>
        <w:gridCol w:w="109"/>
        <w:gridCol w:w="109"/>
        <w:gridCol w:w="211"/>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and other revenue</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 and other revenue</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389</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w:t>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545</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417</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in computing earnings per share:</w:t>
            </w:r>
          </w:p>
        </w:tc>
        <w:tc>
          <w:tcPr>
            <w:tcW w:w="86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COMPREHENSIVE INCOME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lineRule="auto" w:line="288" w:before="0" w:after="0"/>
        <w:jc w:val="left"/>
        <w:rPr>
          <w:color w:val="000000"/>
        </w:rPr>
      </w:pPr>
      <w:r>
        <w:rPr>
          <w:color w:val="000000"/>
        </w:rPr>
        <w:t> </w:t>
      </w:r>
    </w:p>
    <w:tbl>
      <w:tblPr>
        <w:tblW w:w="9876" w:type="dxa"/>
        <w:jc w:val="left"/>
        <w:tblInd w:w="0" w:type="dxa"/>
        <w:tblLayout w:type="fixed"/>
        <w:tblCellMar>
          <w:top w:w="28" w:type="dxa"/>
          <w:left w:w="28" w:type="dxa"/>
          <w:bottom w:w="28" w:type="dxa"/>
          <w:right w:w="28" w:type="dxa"/>
        </w:tblCellMar>
      </w:tblPr>
      <w:tblGrid>
        <w:gridCol w:w="2010"/>
        <w:gridCol w:w="1765"/>
        <w:gridCol w:w="1775"/>
        <w:gridCol w:w="217"/>
        <w:gridCol w:w="496"/>
        <w:gridCol w:w="112"/>
        <w:gridCol w:w="109"/>
        <w:gridCol w:w="109"/>
        <w:gridCol w:w="109"/>
        <w:gridCol w:w="217"/>
        <w:gridCol w:w="496"/>
        <w:gridCol w:w="112"/>
        <w:gridCol w:w="109"/>
        <w:gridCol w:w="109"/>
        <w:gridCol w:w="109"/>
        <w:gridCol w:w="217"/>
        <w:gridCol w:w="496"/>
        <w:gridCol w:w="112"/>
        <w:gridCol w:w="109"/>
        <w:gridCol w:w="109"/>
        <w:gridCol w:w="109"/>
        <w:gridCol w:w="217"/>
        <w:gridCol w:w="495"/>
        <w:gridCol w:w="158"/>
      </w:tblGrid>
      <w:tr>
        <w:trPr/>
        <w:tc>
          <w:tcPr>
            <w:tcW w:w="201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w:t>
              <w:br/>
              <w:t>2025</w:t>
            </w:r>
          </w:p>
        </w:tc>
      </w:tr>
      <w:tr>
        <w:trPr/>
        <w:tc>
          <w:tcPr>
            <w:tcW w:w="555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w:t>
            </w:r>
            <w:r>
              <w:rPr>
                <w:color w:val="000000"/>
              </w:rPr>
              <w:t> </w:t>
            </w:r>
          </w:p>
        </w:tc>
        <w:tc>
          <w:tcPr>
            <w:tcW w:w="11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1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1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58"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 on cash flow hedges, net of deferred tax</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income</w:t>
            </w:r>
          </w:p>
        </w:tc>
        <w:tc>
          <w:tcPr>
            <w:tcW w:w="217"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w:t>
            </w:r>
            <w:r>
              <w:rPr>
                <w:color w:val="000000"/>
              </w:rPr>
              <w:t> </w:t>
            </w:r>
          </w:p>
        </w:tc>
        <w:tc>
          <w:tcPr>
            <w:tcW w:w="11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1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w:t>
            </w:r>
            <w:r>
              <w:rPr>
                <w:color w:val="000000"/>
              </w:rPr>
              <w:t> </w:t>
            </w:r>
          </w:p>
        </w:tc>
        <w:tc>
          <w:tcPr>
            <w:tcW w:w="11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5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20" w:after="283"/>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2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 w:after="283"/>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before="20" w:after="283"/>
        <w:jc w:val="center"/>
        <w:rPr/>
      </w:pPr>
      <w:r>
        <w:rPr/>
      </w:r>
    </w:p>
    <w:tbl>
      <w:tblPr>
        <w:tblW w:w="10988" w:type="dxa"/>
        <w:jc w:val="center"/>
        <w:tblInd w:w="0" w:type="dxa"/>
        <w:tblLayout w:type="fixed"/>
        <w:tblCellMar>
          <w:top w:w="28" w:type="dxa"/>
          <w:left w:w="28" w:type="dxa"/>
          <w:bottom w:w="28" w:type="dxa"/>
          <w:right w:w="28" w:type="dxa"/>
        </w:tblCellMar>
      </w:tblPr>
      <w:tblGrid>
        <w:gridCol w:w="576"/>
        <w:gridCol w:w="282"/>
        <w:gridCol w:w="283"/>
        <w:gridCol w:w="215"/>
        <w:gridCol w:w="215"/>
        <w:gridCol w:w="216"/>
        <w:gridCol w:w="109"/>
        <w:gridCol w:w="109"/>
        <w:gridCol w:w="109"/>
        <w:gridCol w:w="269"/>
        <w:gridCol w:w="331"/>
        <w:gridCol w:w="151"/>
        <w:gridCol w:w="109"/>
        <w:gridCol w:w="109"/>
        <w:gridCol w:w="109"/>
        <w:gridCol w:w="211"/>
        <w:gridCol w:w="601"/>
        <w:gridCol w:w="119"/>
        <w:gridCol w:w="109"/>
        <w:gridCol w:w="109"/>
        <w:gridCol w:w="109"/>
        <w:gridCol w:w="497"/>
        <w:gridCol w:w="660"/>
        <w:gridCol w:w="194"/>
        <w:gridCol w:w="109"/>
        <w:gridCol w:w="109"/>
        <w:gridCol w:w="109"/>
        <w:gridCol w:w="258"/>
        <w:gridCol w:w="753"/>
        <w:gridCol w:w="145"/>
        <w:gridCol w:w="109"/>
        <w:gridCol w:w="109"/>
        <w:gridCol w:w="109"/>
        <w:gridCol w:w="215"/>
        <w:gridCol w:w="215"/>
        <w:gridCol w:w="216"/>
        <w:gridCol w:w="109"/>
        <w:gridCol w:w="109"/>
        <w:gridCol w:w="109"/>
        <w:gridCol w:w="196"/>
        <w:gridCol w:w="571"/>
        <w:gridCol w:w="109"/>
        <w:gridCol w:w="109"/>
        <w:gridCol w:w="109"/>
        <w:gridCol w:w="109"/>
        <w:gridCol w:w="259"/>
        <w:gridCol w:w="737"/>
        <w:gridCol w:w="205"/>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29, 2024</w:t>
            </w:r>
          </w:p>
        </w:tc>
        <w:tc>
          <w:tcPr>
            <w:tcW w:w="4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7,525 </w:t>
            </w:r>
          </w:p>
        </w:tc>
        <w:tc>
          <w:tcPr>
            <w:tcW w:w="1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w:t>
            </w:r>
          </w:p>
        </w:tc>
        <w:tc>
          <w:tcPr>
            <w:tcW w:w="14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(3,934)</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2,373 </w:t>
            </w:r>
          </w:p>
        </w:tc>
        <w:tc>
          <w:tcPr>
            <w:tcW w:w="20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cash flow hedges, net of deferred tax</w:t>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net of repurchases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March 30, 2025</w:t>
            </w:r>
          </w:p>
        </w:tc>
        <w:tc>
          <w:tcPr>
            <w:tcW w:w="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cash flow hedges, net of deferred tax</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net of repurchases</w:t>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June 29, 2025</w:t>
            </w:r>
          </w:p>
        </w:tc>
        <w:tc>
          <w:tcPr>
            <w:tcW w:w="4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7,676 </w:t>
            </w:r>
          </w:p>
        </w:tc>
        <w:tc>
          <w:tcPr>
            <w:tcW w:w="1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w:t>
            </w:r>
          </w:p>
        </w:tc>
        <w:tc>
          <w:tcPr>
            <w:tcW w:w="14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(4,523)</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2,258 </w:t>
            </w:r>
          </w:p>
        </w:tc>
        <w:tc>
          <w:tcPr>
            <w:tcW w:w="20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cash flow hedges, net of deferred tax</w:t>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net of repurchases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September 28, 2025</w:t>
            </w:r>
          </w:p>
        </w:tc>
        <w:tc>
          <w:tcPr>
            <w:tcW w:w="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2,381 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cash flow hedges, net of deferred tax</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net of repurchases</w:t>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28, 2025</w:t>
            </w:r>
          </w:p>
        </w:tc>
        <w:tc>
          <w:tcPr>
            <w:tcW w:w="430"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7,822 </w:t>
            </w:r>
          </w:p>
        </w:tc>
        <w:tc>
          <w:tcPr>
            <w:tcW w:w="11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9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14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2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(4,699)</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2,723 </w:t>
            </w:r>
          </w:p>
        </w:tc>
        <w:tc>
          <w:tcPr>
            <w:tcW w:w="20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0" w:after="2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20" w:after="283"/>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2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 w:after="283"/>
        <w:jc w:val="center"/>
        <w:rPr>
          <w:rFonts w:ascii="Arial;sans-serif" w:hAnsi="Arial;sans-serif"/>
          <w:b/>
          <w:color w:val="000000"/>
          <w:sz w:val="20"/>
        </w:rPr>
      </w:pPr>
      <w:r>
        <w:rPr>
          <w:rFonts w:ascii="Arial;sans-serif" w:hAnsi="Arial;sans-serif"/>
          <w:b/>
          <w:color w:val="000000"/>
          <w:sz w:val="20"/>
        </w:rPr>
        <w:t>(In millions)</w:t>
      </w:r>
    </w:p>
    <w:tbl>
      <w:tblPr>
        <w:tblW w:w="11114" w:type="dxa"/>
        <w:jc w:val="center"/>
        <w:tblInd w:w="0" w:type="dxa"/>
        <w:tblLayout w:type="fixed"/>
        <w:tblCellMar>
          <w:top w:w="28" w:type="dxa"/>
          <w:left w:w="28" w:type="dxa"/>
          <w:bottom w:w="28" w:type="dxa"/>
          <w:right w:w="28" w:type="dxa"/>
        </w:tblCellMar>
      </w:tblPr>
      <w:tblGrid>
        <w:gridCol w:w="677"/>
        <w:gridCol w:w="291"/>
        <w:gridCol w:w="293"/>
        <w:gridCol w:w="218"/>
        <w:gridCol w:w="218"/>
        <w:gridCol w:w="216"/>
        <w:gridCol w:w="109"/>
        <w:gridCol w:w="109"/>
        <w:gridCol w:w="109"/>
        <w:gridCol w:w="262"/>
        <w:gridCol w:w="342"/>
        <w:gridCol w:w="147"/>
        <w:gridCol w:w="109"/>
        <w:gridCol w:w="109"/>
        <w:gridCol w:w="109"/>
        <w:gridCol w:w="208"/>
        <w:gridCol w:w="606"/>
        <w:gridCol w:w="117"/>
        <w:gridCol w:w="109"/>
        <w:gridCol w:w="109"/>
        <w:gridCol w:w="109"/>
        <w:gridCol w:w="497"/>
        <w:gridCol w:w="660"/>
        <w:gridCol w:w="194"/>
        <w:gridCol w:w="109"/>
        <w:gridCol w:w="109"/>
        <w:gridCol w:w="109"/>
        <w:gridCol w:w="305"/>
        <w:gridCol w:w="680"/>
        <w:gridCol w:w="171"/>
        <w:gridCol w:w="109"/>
        <w:gridCol w:w="109"/>
        <w:gridCol w:w="109"/>
        <w:gridCol w:w="215"/>
        <w:gridCol w:w="215"/>
        <w:gridCol w:w="216"/>
        <w:gridCol w:w="109"/>
        <w:gridCol w:w="109"/>
        <w:gridCol w:w="109"/>
        <w:gridCol w:w="196"/>
        <w:gridCol w:w="571"/>
        <w:gridCol w:w="109"/>
        <w:gridCol w:w="109"/>
        <w:gridCol w:w="109"/>
        <w:gridCol w:w="109"/>
        <w:gridCol w:w="255"/>
        <w:gridCol w:w="744"/>
        <w:gridCol w:w="202"/>
      </w:tblGrid>
      <w:tr>
        <w:trPr/>
        <w:tc>
          <w:tcPr>
            <w:tcW w:w="6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December 28, 2025</w:t>
            </w:r>
          </w:p>
        </w:tc>
        <w:tc>
          <w:tcPr>
            <w:tcW w:w="43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w:t>
            </w:r>
            <w:r>
              <w:rPr>
                <w:color w:val="000000"/>
              </w:rPr>
              <w:t> </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7,822</w:t>
            </w:r>
            <w:r>
              <w:rPr>
                <w:color w:val="000000"/>
              </w:rPr>
              <w:t> </w:t>
            </w:r>
          </w:p>
        </w:tc>
        <w:tc>
          <w:tcPr>
            <w:tcW w:w="11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(392)</w:t>
            </w:r>
          </w:p>
        </w:tc>
        <w:tc>
          <w:tcPr>
            <w:tcW w:w="1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(4,699)</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2,723</w:t>
            </w:r>
            <w:r>
              <w:rPr>
                <w:color w:val="000000"/>
              </w:rPr>
              <w:t> </w:t>
            </w:r>
          </w:p>
        </w:tc>
        <w:tc>
          <w:tcPr>
            <w:tcW w:w="20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on cash flow hedges, net of deferred tax</w:t>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Issuance of common stock, net of repurchases</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Share-based compensation</w:t>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March 29, 2026</w:t>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w:t>
            </w:r>
            <w:r>
              <w:rPr>
                <w:color w:val="000000"/>
              </w:rPr>
              <w:t>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7,862</w:t>
            </w: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(258)</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2,676</w:t>
            </w:r>
            <w:r>
              <w:rPr>
                <w:color w:val="000000"/>
              </w:rPr>
              <w:t>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w:t>
            </w: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w:t>
            </w:r>
            <w:r>
              <w:rPr>
                <w:color w:val="000000"/>
              </w:rPr>
              <w:t>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on cash flow hedges, net of deferred tax</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Issuance of common stock, net of repurchases</w:t>
            </w:r>
          </w:p>
        </w:tc>
        <w:tc>
          <w:tcPr>
            <w:tcW w:w="4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(124)</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Share-based compensation</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June 28, 2026</w:t>
            </w:r>
          </w:p>
        </w:tc>
        <w:tc>
          <w:tcPr>
            <w:tcW w:w="43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w:t>
            </w:r>
            <w:r>
              <w:rPr>
                <w:color w:val="000000"/>
              </w:rPr>
              <w:t> </w:t>
            </w:r>
          </w:p>
        </w:tc>
        <w:tc>
          <w:tcPr>
            <w:tcW w:w="2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7,933</w:t>
            </w:r>
            <w:r>
              <w:rPr>
                <w:color w:val="000000"/>
              </w:rPr>
              <w:t> </w:t>
            </w:r>
          </w:p>
        </w:tc>
        <w:tc>
          <w:tcPr>
            <w:tcW w:w="11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9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17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w:t>
            </w:r>
          </w:p>
        </w:tc>
        <w:tc>
          <w:tcPr>
            <w:tcW w:w="2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(5,054)</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2,838</w:t>
            </w:r>
            <w:r>
              <w:rPr>
                <w:color w:val="000000"/>
              </w:rPr>
              <w:t> </w:t>
            </w:r>
          </w:p>
        </w:tc>
        <w:tc>
          <w:tcPr>
            <w:tcW w:w="20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before="0" w:after="0"/>
        <w:jc w:val="center"/>
        <w:rPr/>
      </w:pPr>
      <w:r>
        <w:rPr/>
      </w:r>
    </w:p>
    <w:tbl>
      <w:tblPr>
        <w:tblW w:w="8723" w:type="dxa"/>
        <w:jc w:val="center"/>
        <w:tblInd w:w="0" w:type="dxa"/>
        <w:tblLayout w:type="fixed"/>
        <w:tblCellMar>
          <w:top w:w="28" w:type="dxa"/>
          <w:left w:w="28" w:type="dxa"/>
          <w:bottom w:w="28" w:type="dxa"/>
          <w:right w:w="28" w:type="dxa"/>
        </w:tblCellMar>
      </w:tblPr>
      <w:tblGrid>
        <w:gridCol w:w="2394"/>
        <w:gridCol w:w="2103"/>
        <w:gridCol w:w="2117"/>
        <w:gridCol w:w="211"/>
        <w:gridCol w:w="631"/>
        <w:gridCol w:w="109"/>
        <w:gridCol w:w="109"/>
        <w:gridCol w:w="109"/>
        <w:gridCol w:w="109"/>
        <w:gridCol w:w="211"/>
        <w:gridCol w:w="466"/>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29,</w:t>
              <w:br/>
              <w:t>2025</w:t>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95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95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losses (gains) on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contingent consideration liabilities</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impairment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 and liabilities,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4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purchases of property and equipment</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(78)</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 (purchases) of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acquisitions and intangible assets, net of cash acquired</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(417)</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contingent consideration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84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(488)</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repurchases, inclusive of excise tax</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(370)</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paid related to net share settlement of equity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w:t>
            </w:r>
          </w:p>
        </w:tc>
        <w:tc>
          <w:tcPr>
            <w:tcW w:w="84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contingent consideration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84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(380)</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and cash equivalents</w:t>
            </w:r>
          </w:p>
        </w:tc>
        <w:tc>
          <w:tcPr>
            <w:tcW w:w="84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(378)</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1,040</w:t>
            </w:r>
            <w:r>
              <w:rPr>
                <w:color w:val="000000"/>
              </w:rPr>
              <w:t>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15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color w:val="000000"/>
        </w:rPr>
      </w:pPr>
      <w:r>
        <w:rPr>
          <w:color w:val="000000"/>
        </w:rPr>
        <w:t>    </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ILLUMINA,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80" w:after="283"/>
        <w:jc w:val="center"/>
        <w:rPr/>
      </w:pPr>
      <w:r>
        <w:rPr>
          <w:rFonts w:ascii="Arial;sans-serif" w:hAnsi="Arial;sans-serif"/>
          <w:b w:val="false"/>
          <w:i/>
          <w:color w:val="000000"/>
          <w:sz w:val="20"/>
        </w:rPr>
        <w:t>Unless the context requires otherwise, references in this report to</w:t>
      </w:r>
      <w:r>
        <w:rPr>
          <w:color w:val="000000"/>
        </w:rPr>
        <w:t xml:space="preserve"> “</w:t>
      </w:r>
      <w:r>
        <w:rPr>
          <w:rFonts w:ascii="Arial;sans-serif" w:hAnsi="Arial;sans-serif"/>
          <w:b w:val="false"/>
          <w:i/>
          <w:color w:val="000000"/>
          <w:sz w:val="20"/>
        </w:rPr>
        <w:t>Illumina,” the “Company,” “we,” “us,” and “our” refer to Illumina,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84" w:type="dxa"/>
        <w:jc w:val="left"/>
        <w:tblInd w:w="0" w:type="dxa"/>
        <w:tblLayout w:type="fixed"/>
        <w:tblCellMar>
          <w:top w:w="28" w:type="dxa"/>
          <w:left w:w="28" w:type="dxa"/>
          <w:bottom w:w="28" w:type="dxa"/>
          <w:right w:w="28" w:type="dxa"/>
        </w:tblCellMar>
      </w:tblPr>
      <w:tblGrid>
        <w:gridCol w:w="1917"/>
        <w:gridCol w:w="1685"/>
        <w:gridCol w:w="2382"/>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1. ORGANIZATION AND SIGNIFICANT ACCOUNTING POLICIES</w:t>
            </w:r>
          </w:p>
        </w:tc>
      </w:tr>
    </w:tbl>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60" w:after="283"/>
        <w:jc w:val="left"/>
        <w:rPr/>
      </w:pPr>
      <w:r>
        <w:rPr>
          <w:rFonts w:ascii="Arial;sans-serif" w:hAnsi="Arial;sans-serif"/>
          <w:b w:val="false"/>
          <w:color w:val="000000"/>
          <w:sz w:val="20"/>
        </w:rPr>
        <w:t>We are a provider of sequencing- and array-based solutions for genetic and genomic analysis, serving customers in the research, clinical and applied markets. Our products are used for applications in the life sciences, oncology, reproductive health, agriculture and other emerging segments. Our customers include leading genomic research centers, academic institutions, government laboratories, and hospitals, as well as pharmaceutical, biotechnology, commercial molecular diagnostic laboratories, and consumer genomics companies</w:t>
      </w:r>
      <w:r>
        <w:rPr>
          <w:rFonts w:ascii="Times New Roman;serif" w:hAnsi="Times New Roman;serif"/>
          <w:b w:val="false"/>
          <w:color w:val="000000"/>
          <w:sz w:val="20"/>
        </w:rPr>
        <w:t>.</w:t>
      </w:r>
    </w:p>
    <w:p>
      <w:pPr>
        <w:pStyle w:val="TextBody"/>
        <w:bidi w:val="0"/>
        <w:spacing w:lineRule="auto" w:line="288" w:before="260" w:after="283"/>
        <w:jc w:val="left"/>
        <w:rPr/>
      </w:pPr>
      <w:r>
        <w:rPr>
          <w:rFonts w:ascii="Arial;sans-serif" w:hAnsi="Arial;sans-serif"/>
          <w:b w:val="false"/>
          <w:color w:val="000000"/>
          <w:sz w:val="20"/>
          <w:shd w:fill="FFFFFF" w:val="clear"/>
        </w:rPr>
        <w:t xml:space="preserve">On January 30, 2026, we acquired SomaLogic and other specified assets from Standard BioTools. SomaLogic is a proteomics company that provides high-throughput protein measurement technology and related data analysis services. We have included the financial results of SomaLogic in our condensed consolidated financial statements from the date of acquisition. Refer to note </w:t>
      </w:r>
      <w:hyperlink w:anchor="id13d7d1498ca40b9b8840c98b90cc42c_40">
        <w:r>
          <w:rPr>
            <w:rStyle w:val="InternetLink"/>
            <w:rFonts w:ascii="Arial;sans-serif" w:hAnsi="Arial;sans-serif"/>
            <w:b w:val="false"/>
            <w:color w:val="0000FF"/>
            <w:sz w:val="20"/>
            <w:u w:val="single"/>
            <w:shd w:fill="FFFFFF" w:val="clear"/>
          </w:rPr>
          <w:t>2. Acquisitions, Intangible Assets and Goodwill</w:t>
        </w:r>
      </w:hyperlink>
      <w:r>
        <w:rPr>
          <w:color w:val="000000"/>
          <w:shd w:fill="FFFFFF" w:val="clear"/>
        </w:rPr>
        <w:t xml:space="preserve"> </w:t>
      </w:r>
      <w:r>
        <w:rPr>
          <w:rFonts w:ascii="Arial;sans-serif" w:hAnsi="Arial;sans-serif"/>
          <w:b w:val="false"/>
          <w:color w:val="000000"/>
          <w:sz w:val="20"/>
          <w:shd w:fill="FFFFFF" w:val="clear"/>
        </w:rPr>
        <w:t xml:space="preserve">for additional details. </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260" w:after="283"/>
        <w:jc w:val="left"/>
        <w:rPr/>
      </w:pPr>
      <w:r>
        <w:rPr>
          <w:rFonts w:ascii="Arial;sans-serif" w:hAnsi="Arial;sans-serif"/>
          <w:b w:val="false"/>
          <w:color w:val="000000"/>
          <w:sz w:val="20"/>
        </w:rPr>
        <w:t xml:space="preserve">The accompanying unaudited condensed consolidated financial statements have been prepared in accordance with U.S. generally accepted accounting principles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These unaudited condensed consolidated financial statements should be read in conjunction with the audited consolidated financial statements and footnotes included in the Annual Report on Form </w:t>
      </w:r>
      <w:hyperlink r:id="rId5">
        <w:r>
          <w:rPr>
            <w:rStyle w:val="InternetLink"/>
            <w:rFonts w:ascii="Arial;sans-serif" w:hAnsi="Arial;sans-serif"/>
            <w:b w:val="false"/>
            <w:color w:val="0000FF"/>
            <w:sz w:val="20"/>
            <w:u w:val="single"/>
          </w:rPr>
          <w:t>10-K</w:t>
        </w:r>
      </w:hyperlink>
      <w:r>
        <w:rPr>
          <w:color w:val="000000"/>
        </w:rPr>
        <w:t xml:space="preserve"> </w:t>
      </w:r>
      <w:r>
        <w:rPr>
          <w:rFonts w:ascii="Arial;sans-serif" w:hAnsi="Arial;sans-serif"/>
          <w:b w:val="false"/>
          <w:color w:val="000000"/>
          <w:sz w:val="20"/>
        </w:rPr>
        <w:t>for the fiscal year ended December 28, 2025, from which the prior year balance sheet information herein was derived. The preparation of financial statements requires management to make estimates and assumptions that affect the reported amounts of assets, liabilities, revenue, and expense, and related disclosure of contingent assets and liabilities. Although tariffs, reductions in the U.S. government’s funding of the NIH, our inclusion on the unreliable entities list by regulatory authorities in China, armed conflicts, including recent conflict in the Middle East and Iran, and macroeconomic factors, such as inflation, exchange rate fluctuations, supply-chain disruptions, and concerns about an economic downturn continue to create additional uncertainty, we continue to use the best information available to form our critical accounting estimates. Actual results could differ from those estimates.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unaudited condensed consolidated financial statements include our accounts, our wholly-owned subsidiaries, and majority-owned or controlled companies. All intercompany transactions and balances have been eliminated. Certain prior period amounts have been reclassified to conform to the current period presentation. In management’s opinion, all normal recurring adjustments necessary for a fair presentation of the interim results have been reflected.</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Fiscal Year</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Our fiscal year is the 52 or 53 weeks ending the Sunday closest to December 31, with quarters of 13 or 14 weeks ending the Sunday closest to March 31, June 30, September 30, and December 31. The three-month periods ended June 28, 2026 and June 29, 2025 are referred to as Q2 2026 and Q2 2025, respectively, which were 13 weeks. The corresponding six-month periods are referred to as YTD 2026 and YTD 2025, respectively, which were 26 weeks.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 xml:space="preserve">Significant Accounting Policies </w:t>
      </w:r>
    </w:p>
    <w:p>
      <w:pPr>
        <w:pStyle w:val="TextBody"/>
        <w:bidi w:val="0"/>
        <w:spacing w:lineRule="auto" w:line="288" w:before="260" w:after="283"/>
        <w:jc w:val="left"/>
        <w:rPr/>
      </w:pPr>
      <w:r>
        <w:rPr>
          <w:rFonts w:ascii="Arial;sans-serif" w:hAnsi="Arial;sans-serif"/>
          <w:b w:val="false"/>
          <w:color w:val="000000"/>
          <w:sz w:val="20"/>
        </w:rPr>
        <w:t xml:space="preserve">During YTD 2026, there were no changes to our significant accounting policies as described in our Annual Report on Form </w:t>
      </w:r>
      <w:hyperlink r:id="rId6">
        <w:r>
          <w:rPr>
            <w:rStyle w:val="InternetLink"/>
            <w:rFonts w:ascii="Arial;sans-serif" w:hAnsi="Arial;sans-serif"/>
            <w:b w:val="false"/>
            <w:color w:val="0000FF"/>
            <w:sz w:val="20"/>
            <w:u w:val="single"/>
          </w:rPr>
          <w:t>10-K</w:t>
        </w:r>
      </w:hyperlink>
      <w:r>
        <w:rPr>
          <w:color w:val="000000"/>
        </w:rPr>
        <w:t xml:space="preserve"> </w:t>
      </w:r>
      <w:r>
        <w:rPr>
          <w:rFonts w:ascii="Arial;sans-serif" w:hAnsi="Arial;sans-serif"/>
          <w:b w:val="false"/>
          <w:color w:val="000000"/>
          <w:sz w:val="20"/>
        </w:rPr>
        <w:t xml:space="preserve">for the fiscal year ended December 28, 2025, except for a new policy related to long-term inventory stemming from certain new manufacturing processes that last more than one year and were acquired as part of the SomaLogic acquisition. See note </w:t>
      </w:r>
      <w:hyperlink w:anchor="id13d7d1498ca40b9b8840c98b90cc42c_73">
        <w:r>
          <w:rPr>
            <w:rStyle w:val="InternetLink"/>
            <w:rFonts w:ascii="Arial;sans-serif" w:hAnsi="Arial;sans-serif"/>
            <w:b w:val="false"/>
            <w:color w:val="0000FF"/>
            <w:sz w:val="20"/>
            <w:u w:val="single"/>
          </w:rPr>
          <w:t>7. Supplemental Balance Sheet and Statement of Operations Details</w:t>
        </w:r>
      </w:hyperlink>
      <w:r>
        <w:rPr>
          <w:rFonts w:ascii="Arial;sans-serif" w:hAnsi="Arial;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 xml:space="preserve">Accounting Pronouncements Pending Adoption </w:t>
      </w:r>
    </w:p>
    <w:p>
      <w:pPr>
        <w:pStyle w:val="TextBody"/>
        <w:bidi w:val="0"/>
        <w:spacing w:lineRule="auto" w:line="288" w:before="260" w:after="283"/>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 xml:space="preserve">Disaggregation of Income Statement Expenses - Income Statement - Reporting Comprehensive Income - Expense Disaggregation Disclosures. </w:t>
      </w:r>
      <w:r>
        <w:rPr>
          <w:rFonts w:ascii="Arial;sans-serif" w:hAnsi="Arial;sans-serif"/>
          <w:b w:val="false"/>
          <w:color w:val="000000"/>
          <w:sz w:val="20"/>
        </w:rPr>
        <w:t>The new standard requires a company to provide disaggregated disclosures, in the notes to the financial statements, of specified categories of expenses that are included in line items on the face of the income statement. The standard is effective for us beginning in fiscal year 2027 and interim periods within fiscal year 2028, with early adoption permitted. The new standard is expected to be applied prospectively, but retrospective application is permitted. We are currently evaluating the impact of ASU 2024-03 on the consolidated financial statements and related disclosures.</w:t>
      </w:r>
    </w:p>
    <w:p>
      <w:pPr>
        <w:pStyle w:val="TextBody"/>
        <w:bidi w:val="0"/>
        <w:spacing w:lineRule="auto" w:line="288" w:before="260" w:after="283"/>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Targeted Improvements to the Accounting for Internal-Use Software</w:t>
      </w:r>
      <w:r>
        <w:rPr>
          <w:rFonts w:ascii="Arial;sans-serif" w:hAnsi="Arial;sans-serif"/>
          <w:b w:val="false"/>
          <w:color w:val="000000"/>
          <w:sz w:val="20"/>
        </w:rPr>
        <w:t>. The new standard is intended to modernize the recognition and disclosure framework for capitalized internal-use software costs, removing the previous “development stage” model and introducing a more judgment-based approach. The standard is effective for us beginning in our first quarter of fiscal year 2028, with early adoption permitted, and can be applied using a prospective, retrospective, or modified transition approach. We are currently evaluating the impact of ASU 2025-06 on the consolidated financial statements.</w:t>
      </w:r>
    </w:p>
    <w:p>
      <w:pPr>
        <w:pStyle w:val="TextBody"/>
        <w:bidi w:val="0"/>
        <w:spacing w:lineRule="auto" w:line="288" w:before="260" w:after="283"/>
        <w:jc w:val="left"/>
        <w:rPr/>
      </w:pPr>
      <w:r>
        <w:rPr>
          <w:rFonts w:ascii="Arial;sans-serif" w:hAnsi="Arial;sans-serif"/>
          <w:b w:val="false"/>
          <w:color w:val="000000"/>
          <w:sz w:val="20"/>
        </w:rPr>
        <w:t xml:space="preserve">In November 2025, the FASB issued ASU 2025-09, </w:t>
      </w:r>
      <w:r>
        <w:rPr>
          <w:rFonts w:ascii="Arial;sans-serif" w:hAnsi="Arial;sans-serif"/>
          <w:b w:val="false"/>
          <w:i/>
          <w:color w:val="000000"/>
          <w:sz w:val="20"/>
        </w:rPr>
        <w:t>Derivatives and Hedging, Hedge Accounting Improvements</w:t>
      </w:r>
      <w:r>
        <w:rPr>
          <w:rFonts w:ascii="Arial;sans-serif" w:hAnsi="Arial;sans-serif"/>
          <w:b w:val="false"/>
          <w:color w:val="000000"/>
          <w:sz w:val="20"/>
        </w:rPr>
        <w:t>. The new standard is intended to better align hedge accounting with risk management activities. The standard is effective for us beginning in our first quarter of fiscal year 2027, with early adoption permitted, and is applied on a prospective basis. We are currently evaluating the impact of ASU 2025-09 on the consolidated financial statements.</w:t>
      </w:r>
    </w:p>
    <w:p>
      <w:pPr>
        <w:pStyle w:val="TextBody"/>
        <w:bidi w:val="0"/>
        <w:spacing w:lineRule="auto" w:line="288" w:before="260" w:after="283"/>
        <w:jc w:val="left"/>
        <w:rPr/>
      </w:pPr>
      <w:r>
        <w:rPr>
          <w:rFonts w:ascii="Arial;sans-serif" w:hAnsi="Arial;sans-serif"/>
          <w:b w:val="false"/>
          <w:color w:val="000000"/>
          <w:sz w:val="20"/>
        </w:rPr>
        <w:t xml:space="preserve">In December 2025, the FASB issued ASU 2025-10, </w:t>
      </w:r>
      <w:r>
        <w:rPr>
          <w:rFonts w:ascii="Arial;sans-serif" w:hAnsi="Arial;sans-serif"/>
          <w:b w:val="false"/>
          <w:i/>
          <w:color w:val="000000"/>
          <w:sz w:val="20"/>
        </w:rPr>
        <w:t>Accounting for Government Grants Received by Business Entities</w:t>
      </w:r>
      <w:r>
        <w:rPr>
          <w:rFonts w:ascii="Arial;sans-serif" w:hAnsi="Arial;sans-serif"/>
          <w:b w:val="false"/>
          <w:color w:val="000000"/>
          <w:sz w:val="20"/>
        </w:rPr>
        <w:t>. The new standard provides guidance on the recognition, measurement, and presentation of government grants. The standard is effective for us beginning in our first quarter of fiscal year 2029, with early adoption permitted, and can be applied using a modified prospective, modified retrospective or full retrospective transition approach. We are currently evaluating the impact of ASU 2025-10 on the consolidated financial statements.</w:t>
      </w:r>
    </w:p>
    <w:p>
      <w:pPr>
        <w:pStyle w:val="TextBody"/>
        <w:bidi w:val="0"/>
        <w:spacing w:lineRule="auto" w:line="288" w:before="260" w:after="283"/>
        <w:jc w:val="left"/>
        <w:rPr/>
      </w:pPr>
      <w:r>
        <w:rPr>
          <w:rFonts w:ascii="Arial;sans-serif" w:hAnsi="Arial;sans-serif"/>
          <w:b w:val="false"/>
          <w:color w:val="000000"/>
          <w:sz w:val="20"/>
        </w:rPr>
        <w:t xml:space="preserve">In May 2026, the FASB issued ASU 2026-02, </w:t>
      </w:r>
      <w:r>
        <w:rPr>
          <w:rFonts w:ascii="Arial;sans-serif" w:hAnsi="Arial;sans-serif"/>
          <w:b w:val="false"/>
          <w:i/>
          <w:color w:val="000000"/>
          <w:sz w:val="20"/>
        </w:rPr>
        <w:t>Environmental Credits and Environmental Credit Obligations</w:t>
      </w:r>
      <w:r>
        <w:rPr>
          <w:rFonts w:ascii="Arial;sans-serif" w:hAnsi="Arial;sans-serif"/>
          <w:b w:val="false"/>
          <w:color w:val="000000"/>
          <w:sz w:val="20"/>
        </w:rPr>
        <w:t>. The new standard provides specific guidance on the recognition, measurement, presentation, and disclosure of environmental credits and environmental credit obligations. The standard is effective for us beginning in the first quarter of fiscal year 2028, with early adoption permitted, and is required to be applied retrospectively by recognizing a cumulative-effect adjustment to the opening balance of retained earnings in the period of adoption. We are currently evaluating the impact of ASU 2026-02 on the consolidated financial statements.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Earnings per Share</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is computed based on the weighted average number of common shares outstanding during the period. Diluted earnings per share is computed based on the sum of the weighted average number of common shares and potentially dilutive common shares outstanding during the period. Potentially dilutive common shares from equity awards are determined using the average share price for each period under the treasury stock method. In addition, proceeds from exercise of equity awards and the average amount of unrecognized compensation expense for equity awards are assumed to be used to repurchase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weighted average shares used to calculate basic and diluted earnings per share were as follows:</w:t>
      </w:r>
    </w:p>
    <w:tbl>
      <w:tblPr>
        <w:tblW w:w="10205" w:type="dxa"/>
        <w:jc w:val="left"/>
        <w:tblInd w:w="0" w:type="dxa"/>
        <w:tblLayout w:type="fixed"/>
        <w:tblCellMar>
          <w:top w:w="28" w:type="dxa"/>
          <w:left w:w="28" w:type="dxa"/>
          <w:bottom w:w="28" w:type="dxa"/>
          <w:right w:w="28" w:type="dxa"/>
        </w:tblCellMar>
      </w:tblPr>
      <w:tblGrid>
        <w:gridCol w:w="2205"/>
        <w:gridCol w:w="1935"/>
        <w:gridCol w:w="1961"/>
        <w:gridCol w:w="244"/>
        <w:gridCol w:w="243"/>
        <w:gridCol w:w="235"/>
        <w:gridCol w:w="109"/>
        <w:gridCol w:w="109"/>
        <w:gridCol w:w="109"/>
        <w:gridCol w:w="244"/>
        <w:gridCol w:w="243"/>
        <w:gridCol w:w="235"/>
        <w:gridCol w:w="109"/>
        <w:gridCol w:w="109"/>
        <w:gridCol w:w="109"/>
        <w:gridCol w:w="279"/>
        <w:gridCol w:w="269"/>
        <w:gridCol w:w="266"/>
        <w:gridCol w:w="109"/>
        <w:gridCol w:w="109"/>
        <w:gridCol w:w="109"/>
        <w:gridCol w:w="258"/>
        <w:gridCol w:w="253"/>
        <w:gridCol w:w="354"/>
      </w:tblGrid>
      <w:tr>
        <w:trPr/>
        <w:tc>
          <w:tcPr>
            <w:tcW w:w="220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6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61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outstanding</w:t>
            </w:r>
          </w:p>
        </w:tc>
        <w:tc>
          <w:tcPr>
            <w:tcW w:w="4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w:t>
            </w:r>
            <w:r>
              <w:rPr>
                <w:color w:val="000000"/>
              </w:rPr>
              <w:t> </w:t>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2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3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potentially dilutive common shares from:</w:t>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awards</w:t>
            </w:r>
          </w:p>
        </w:tc>
        <w:tc>
          <w:tcPr>
            <w:tcW w:w="4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used in calculating diluted earnings per share</w:t>
            </w:r>
          </w:p>
        </w:tc>
        <w:tc>
          <w:tcPr>
            <w:tcW w:w="4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w:t>
            </w:r>
            <w:r>
              <w:rPr>
                <w:color w:val="000000"/>
              </w:rPr>
              <w:t>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Antidilutive shares:</w:t>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awards</w:t>
            </w:r>
          </w:p>
        </w:tc>
        <w:tc>
          <w:tcPr>
            <w:tcW w:w="4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Potentially dilutive shares excluded from calculation due to antidilutive effect</w:t>
            </w:r>
          </w:p>
        </w:tc>
        <w:tc>
          <w:tcPr>
            <w:tcW w:w="4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549" w:type="dxa"/>
        <w:jc w:val="left"/>
        <w:tblInd w:w="0" w:type="dxa"/>
        <w:tblLayout w:type="fixed"/>
        <w:tblCellMar>
          <w:top w:w="28" w:type="dxa"/>
          <w:left w:w="28" w:type="dxa"/>
          <w:bottom w:w="28" w:type="dxa"/>
          <w:right w:w="28" w:type="dxa"/>
        </w:tblCellMar>
      </w:tblPr>
      <w:tblGrid>
        <w:gridCol w:w="1777"/>
        <w:gridCol w:w="1560"/>
        <w:gridCol w:w="2212"/>
      </w:tblGrid>
      <w:tr>
        <w:trPr/>
        <w:tc>
          <w:tcPr>
            <w:tcW w:w="177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666666"/>
                <w:sz w:val="20"/>
              </w:rPr>
            </w:pPr>
            <w:r>
              <w:rPr>
                <w:rFonts w:ascii="Arial;sans-serif" w:hAnsi="Arial;sans-serif"/>
                <w:b/>
                <w:color w:val="666666"/>
                <w:sz w:val="20"/>
              </w:rPr>
              <w:t>2. ACQUISITIONS, INTANGIBLE ASSETS AND GOODWILL</w:t>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SomaLogic Acquisition</w:t>
      </w:r>
    </w:p>
    <w:p>
      <w:pPr>
        <w:pStyle w:val="TextBody"/>
        <w:bidi w:val="0"/>
        <w:spacing w:lineRule="auto" w:line="288" w:before="26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January 30, 2026, we acquired SomaLogic, a proteomics company that provides high-throughput protein measurement technology and related data analysis services, and other specified assets from Standard BioTools. We expect the acquisition to enhance our presence in the proteomics market and advance our multiomics strategy.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total purchase price consisted of the following:</w:t>
      </w:r>
    </w:p>
    <w:tbl>
      <w:tblPr>
        <w:tblW w:w="4220" w:type="dxa"/>
        <w:jc w:val="left"/>
        <w:tblInd w:w="0" w:type="dxa"/>
        <w:tblLayout w:type="fixed"/>
        <w:tblCellMar>
          <w:top w:w="28" w:type="dxa"/>
          <w:left w:w="28" w:type="dxa"/>
          <w:bottom w:w="28" w:type="dxa"/>
          <w:right w:w="28" w:type="dxa"/>
        </w:tblCellMar>
      </w:tblPr>
      <w:tblGrid>
        <w:gridCol w:w="1222"/>
        <w:gridCol w:w="1068"/>
        <w:gridCol w:w="1084"/>
        <w:gridCol w:w="211"/>
        <w:gridCol w:w="48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millions</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contingent consideration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 of preexisting relationship</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purchase price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Standard BioTools is eligible to receive up to $75 million in milestone payments, comprised of up to $25 million based on 2025 performance and up to $50 million based on 2026 performance, due upon the achievement of specified targets for net revenue generated from SOMAmer-based assay services and related products (the Milestone Contingent Consideration). In Q2 2026, we paid $25 million for the milestone payment earned for the 2025 performance period. In addition, Standard BioTools is entitled to receive a 2% royalty on net revenues generated from sales of SOMAmer-based next-generation sequencing (NGS) library preparation kits, paid quarterly for 10 years from the acquisition date and continuing through January 2036 (the Royalty Contingent Consideration). The aggregate acquisition date fair value of these contingent consideration arrangements was $81 million.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used a Monte Carlo simulation to estimate the fair value of the Milestone Contingent Consideration and a discounted cash flow analysis to estimate the fair value of the Royalty Contingent Consideration. Estimates and assumptions used in the Monte Carlo simulation and discounted cash flow analysis included forecasted revenues, a revenue risk premium, an operational leverage ratio and a counterparty credit spread. An estimate for revenue volatility was also used in the Monte Carlo simulation. These unobservable inputs represent a Level 3 measurement because they are supported by little or no market activity and reflect our own assumptions in measuring fair value.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On July 27, 2026, we paid $30 million to buyout the remaining contingent consideration obligations that were outstanding as of June 28, 2026. See note </w:t>
      </w:r>
      <w:hyperlink w:anchor="id13d7d1498ca40b9b8840c98b90cc42c_52">
        <w:r>
          <w:rPr>
            <w:rStyle w:val="InternetLink"/>
            <w:rFonts w:ascii="Arial;sans-serif" w:hAnsi="Arial;sans-serif"/>
            <w:b w:val="false"/>
            <w:color w:val="0000FF"/>
            <w:sz w:val="20"/>
            <w:u w:val="single"/>
          </w:rPr>
          <w:t>4. Investments and Fair Value Measurements</w:t>
        </w:r>
      </w:hyperlink>
      <w:r>
        <w:rPr>
          <w:color w:val="000000"/>
        </w:rPr>
        <w:t xml:space="preserve"> </w:t>
      </w:r>
      <w:r>
        <w:rPr>
          <w:rFonts w:ascii="Arial;sans-serif" w:hAnsi="Arial;sans-serif"/>
          <w:b w:val="false"/>
          <w:color w:val="000000"/>
          <w:sz w:val="20"/>
        </w:rPr>
        <w:t>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preliminary fair values of assets acquired and liabilities assumed were:</w:t>
      </w:r>
    </w:p>
    <w:tbl>
      <w:tblPr>
        <w:tblW w:w="9696" w:type="dxa"/>
        <w:jc w:val="left"/>
        <w:tblInd w:w="0" w:type="dxa"/>
        <w:tblLayout w:type="fixed"/>
        <w:tblCellMar>
          <w:top w:w="28" w:type="dxa"/>
          <w:left w:w="28" w:type="dxa"/>
          <w:bottom w:w="28" w:type="dxa"/>
          <w:right w:w="28" w:type="dxa"/>
        </w:tblCellMar>
      </w:tblPr>
      <w:tblGrid>
        <w:gridCol w:w="1237"/>
        <w:gridCol w:w="1084"/>
        <w:gridCol w:w="1099"/>
        <w:gridCol w:w="449"/>
        <w:gridCol w:w="1027"/>
        <w:gridCol w:w="233"/>
        <w:gridCol w:w="109"/>
        <w:gridCol w:w="109"/>
        <w:gridCol w:w="109"/>
        <w:gridCol w:w="810"/>
        <w:gridCol w:w="1558"/>
        <w:gridCol w:w="421"/>
        <w:gridCol w:w="109"/>
        <w:gridCol w:w="109"/>
        <w:gridCol w:w="109"/>
        <w:gridCol w:w="280"/>
        <w:gridCol w:w="639"/>
        <w:gridCol w:w="205"/>
      </w:tblGrid>
      <w:tr>
        <w:trPr/>
        <w:tc>
          <w:tcPr>
            <w:tcW w:w="123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millions</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Initially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Adjusted</w:t>
            </w:r>
          </w:p>
        </w:tc>
      </w:tr>
      <w:tr>
        <w:trPr/>
        <w:tc>
          <w:tcPr>
            <w:tcW w:w="34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4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3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20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Inventory </w:t>
            </w:r>
            <w:r>
              <w:rPr>
                <w:rFonts w:ascii="Arial;sans-serif" w:hAnsi="Arial;sans-serif"/>
                <w:b w:val="false"/>
                <w:color w:val="000000"/>
                <w:sz w:val="13"/>
              </w:rPr>
              <w:t>(1)</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w:t>
            </w: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2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assets acquired</w:t>
            </w:r>
          </w:p>
        </w:tc>
        <w:tc>
          <w:tcPr>
            <w:tcW w:w="44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23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3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460</w:t>
            </w:r>
            <w:r>
              <w:rPr>
                <w:color w:val="000000"/>
              </w:rPr>
              <w:t> </w:t>
            </w:r>
          </w:p>
        </w:tc>
        <w:tc>
          <w:tcPr>
            <w:tcW w:w="20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6"/>
        </w:rPr>
        <w:t xml:space="preserve">(1)Includes $22 million of inventory classified as noncurrent. See note </w:t>
      </w:r>
      <w:hyperlink w:anchor="id13d7d1498ca40b9b8840c98b90cc42c_73">
        <w:r>
          <w:rPr>
            <w:rStyle w:val="InternetLink"/>
            <w:rFonts w:ascii="Arial;sans-serif" w:hAnsi="Arial;sans-serif"/>
            <w:b w:val="false"/>
            <w:color w:val="0000FF"/>
            <w:sz w:val="16"/>
            <w:u w:val="single"/>
          </w:rPr>
          <w:t>7. Supplemental Balance Sheet and Statement of Operations Details</w:t>
        </w:r>
      </w:hyperlink>
      <w:r>
        <w:rPr>
          <w:rFonts w:ascii="Arial;sans-serif" w:hAnsi="Arial;sans-serif"/>
          <w:b w:val="false"/>
          <w:color w:val="000000"/>
          <w:sz w:val="16"/>
        </w:rPr>
        <w:t>.</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recorded a measurement period adjustment in Q2 2026 for the settlement of an assumed contingency for which the Company is indemnified. We are still finalizing the allocation of the purchase price as additional information is received to complete our analysis and certain tax returns are finalized. The preliminary fair value estimates assigned to goodwill and the related tax impacts of the acquisition, among other items, are subject to change. We expect to finalize the allocation as soon as practicable, but no later than one year after the acquisition date.</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Goodwill is primarily attributable to assembled workforce, expanded market opportunities, and expected synergies to be achieved. We expect that the entire amount of goodwill recognized will be deductible for tax purposes.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preliminary fair values assigned to identifiable intangible assets acquired were as follows:</w:t>
      </w:r>
    </w:p>
    <w:tbl>
      <w:tblPr>
        <w:tblW w:w="4889" w:type="dxa"/>
        <w:jc w:val="left"/>
        <w:tblInd w:w="0" w:type="dxa"/>
        <w:tblLayout w:type="fixed"/>
        <w:tblCellMar>
          <w:top w:w="28" w:type="dxa"/>
          <w:left w:w="28" w:type="dxa"/>
          <w:bottom w:w="28" w:type="dxa"/>
          <w:right w:w="28" w:type="dxa"/>
        </w:tblCellMar>
      </w:tblPr>
      <w:tblGrid>
        <w:gridCol w:w="765"/>
        <w:gridCol w:w="674"/>
        <w:gridCol w:w="676"/>
        <w:gridCol w:w="233"/>
        <w:gridCol w:w="532"/>
        <w:gridCol w:w="120"/>
        <w:gridCol w:w="553"/>
        <w:gridCol w:w="553"/>
        <w:gridCol w:w="783"/>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millions, except years</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Estimated Useful Life </w:t>
            </w:r>
          </w:p>
        </w:tc>
      </w:tr>
      <w:tr>
        <w:trPr/>
        <w:tc>
          <w:tcPr>
            <w:tcW w:w="21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Developed technology</w:t>
            </w:r>
          </w:p>
        </w:tc>
        <w:tc>
          <w:tcPr>
            <w:tcW w:w="23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2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r>
      <w:tr>
        <w:trPr/>
        <w:tc>
          <w:tcPr>
            <w:tcW w:w="21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7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fair values of the developed technology, trade name and customer relationships were estimated using an income approach. Under the income approach, an intangible asset’s fair value is equal to the present value of future economic benefits to be derived from ownership of the asset. The estimated fair values were developed by discounting future net cash flows to their present value at market-based rates of return. The useful lives of the intangible assets for amortization purposes were determined by considering the period of expected cash flows used to measure the fair values of the intangible assets adjusted as appropriate for entity-specific factors. The acquired intangible assets are amortized on a straight-line basis over their estimated useful lives.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Transaction costs associated with the acquisition, consisting primarily of legal, regulatory and financial advisory fees, were approximately $9 million and $6 million in YTD 2026 and YTD 2025, respectively. These costs were expensed as incurred as selling, general and administrative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Unaudited Pro Forma Financial Information</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following unaudited pro forma financial information summarizes the combined results of operations of Illumina and SomaLogic as if the companies had been combined as of the beginning of our fiscal year 2025.</w:t>
      </w:r>
    </w:p>
    <w:tbl>
      <w:tblPr>
        <w:tblW w:w="6000" w:type="dxa"/>
        <w:jc w:val="left"/>
        <w:tblInd w:w="0" w:type="dxa"/>
        <w:tblLayout w:type="fixed"/>
        <w:tblCellMar>
          <w:top w:w="28" w:type="dxa"/>
          <w:left w:w="28" w:type="dxa"/>
          <w:bottom w:w="28" w:type="dxa"/>
          <w:right w:w="28" w:type="dxa"/>
        </w:tblCellMar>
      </w:tblPr>
      <w:tblGrid>
        <w:gridCol w:w="401"/>
        <w:gridCol w:w="352"/>
        <w:gridCol w:w="35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111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2,258</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2,136 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unaudited pro forma financial information is presented for informational purposes only and is not indicative of the results of operations that would have been achieved had the acquisition been completed at the beginning of our fiscal year 2025. In addition, the unaudited pro forma financial information is not a projection of future results of operations of the combined company nor does it reflect the expected realization of any synergies or cost savings associated with the acquisition. The unaudited pro forma financial information includes adjustments to reflect the elimination of intercompany transactions, incremental amortization and depreciation expense of the intangible assets and property and equipment acquired, respectively, acquisition-related transaction costs, and purchase accounting adjustments to reflect fair value step-up adjustments for inventory and fixed assets, among other items.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is a summary of our identifiable intangible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8"/>
        <w:gridCol w:w="655"/>
        <w:gridCol w:w="665"/>
        <w:gridCol w:w="211"/>
        <w:gridCol w:w="481"/>
        <w:gridCol w:w="109"/>
        <w:gridCol w:w="109"/>
        <w:gridCol w:w="109"/>
        <w:gridCol w:w="109"/>
        <w:gridCol w:w="304"/>
        <w:gridCol w:w="694"/>
        <w:gridCol w:w="158"/>
        <w:gridCol w:w="109"/>
        <w:gridCol w:w="109"/>
        <w:gridCol w:w="109"/>
        <w:gridCol w:w="109"/>
        <w:gridCol w:w="109"/>
        <w:gridCol w:w="305"/>
        <w:gridCol w:w="698"/>
        <w:gridCol w:w="158"/>
        <w:gridCol w:w="109"/>
        <w:gridCol w:w="109"/>
        <w:gridCol w:w="109"/>
        <w:gridCol w:w="211"/>
        <w:gridCol w:w="481"/>
        <w:gridCol w:w="109"/>
        <w:gridCol w:w="109"/>
        <w:gridCol w:w="109"/>
        <w:gridCol w:w="109"/>
        <w:gridCol w:w="304"/>
        <w:gridCol w:w="694"/>
        <w:gridCol w:w="158"/>
        <w:gridCol w:w="109"/>
        <w:gridCol w:w="109"/>
        <w:gridCol w:w="109"/>
        <w:gridCol w:w="299"/>
        <w:gridCol w:w="685"/>
        <w:gridCol w:w="225"/>
      </w:tblGrid>
      <w:tr>
        <w:trPr/>
        <w:tc>
          <w:tcPr>
            <w:tcW w:w="7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28, 2025</w:t>
            </w:r>
          </w:p>
        </w:tc>
        <w:tc>
          <w:tcPr>
            <w:tcW w:w="1536" w:type="dxa"/>
            <w:gridSpan w:val="6"/>
            <w:tcBorders/>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Intangible Assets,</w:t>
              <w:br/>
              <w:t>Net</w:t>
            </w:r>
          </w:p>
        </w:tc>
      </w:tr>
      <w:tr>
        <w:trPr/>
        <w:tc>
          <w:tcPr>
            <w:tcW w:w="2068"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Developed technologies and patents</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(354)</w:t>
            </w:r>
          </w:p>
        </w:tc>
        <w:tc>
          <w:tcPr>
            <w:tcW w:w="158"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w:t>
            </w:r>
            <w:r>
              <w:rPr>
                <w:color w:val="000000"/>
              </w:rPr>
              <w:t> </w:t>
            </w:r>
          </w:p>
        </w:tc>
        <w:tc>
          <w:tcPr>
            <w:tcW w:w="158"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158"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25"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Licensed technologies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5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5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agreements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Trade names</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5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5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Database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068"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 net</w:t>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961</w:t>
            </w:r>
            <w:r>
              <w:rPr>
                <w:color w:val="000000"/>
              </w:rPr>
              <w:t>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(551)</w:t>
            </w:r>
          </w:p>
        </w:tc>
        <w:tc>
          <w:tcPr>
            <w:tcW w:w="15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15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w:t>
            </w:r>
          </w:p>
        </w:tc>
        <w:tc>
          <w:tcPr>
            <w:tcW w:w="15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5"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25"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Q1 2026, we acquired an intellectual property portfolio for total consideration of $50 million, which was assigned to an individual intangible asset that is amortized on a straight-line basis over an estimated useful life of 14 years. A cost accumulation model is used to determine the cost of an asset acquisition. Direct transaction costs are recognized as part of the cost of an asset acquisition. The cost of an asset acquisition, including transaction costs, is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Q2 2025, we recorded an impairment charge of $23 million when the planned use of a finite-lived intangible asset changed. We performed a recoverability test and concluded the carrying value of the intangible asset exceeded its estimated fair value, which was determined using a discounted cash flow model that included estimates and assumptions for projected future cash flows. The estimates and assumptions used in our assessment of fair value represent Level 3 measurements as they are supported by little or no market activity and reflect our own assumptions in measuring fair value. The impairment was recorded in cost of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68" w:before="260" w:after="283"/>
        <w:jc w:val="left"/>
        <w:rPr>
          <w:rFonts w:ascii="Arial;sans-serif" w:hAnsi="Arial;sans-serif"/>
          <w:b w:val="false"/>
          <w:color w:val="000000"/>
          <w:sz w:val="20"/>
        </w:rPr>
      </w:pPr>
      <w:r>
        <w:rPr>
          <w:rFonts w:ascii="Arial;sans-serif" w:hAnsi="Arial;sans-serif"/>
          <w:b w:val="false"/>
          <w:color w:val="000000"/>
          <w:sz w:val="20"/>
        </w:rPr>
        <w:t>The estimated future annual amortization of intangible assets is shown in the following table. Actual amortization expense to be reported in future periods could differ from these estimates as a result of acquisitions, divestitures, and asset impairments, among other factors.</w:t>
      </w:r>
    </w:p>
    <w:p>
      <w:pPr>
        <w:pStyle w:val="TextBody"/>
        <w:bidi w:val="0"/>
        <w:spacing w:before="0" w:after="0"/>
        <w:jc w:val="left"/>
        <w:rPr/>
      </w:pPr>
      <w:r>
        <w:rPr/>
      </w:r>
    </w:p>
    <w:tbl>
      <w:tblPr>
        <w:tblW w:w="4873" w:type="dxa"/>
        <w:jc w:val="left"/>
        <w:tblInd w:w="0" w:type="dxa"/>
        <w:tblLayout w:type="fixed"/>
        <w:tblCellMar>
          <w:top w:w="28" w:type="dxa"/>
          <w:left w:w="28" w:type="dxa"/>
          <w:bottom w:w="28" w:type="dxa"/>
          <w:right w:w="28" w:type="dxa"/>
        </w:tblCellMar>
      </w:tblPr>
      <w:tblGrid>
        <w:gridCol w:w="809"/>
        <w:gridCol w:w="707"/>
        <w:gridCol w:w="718"/>
        <w:gridCol w:w="656"/>
        <w:gridCol w:w="1500"/>
        <w:gridCol w:w="483"/>
      </w:tblGrid>
      <w:tr>
        <w:trPr/>
        <w:tc>
          <w:tcPr>
            <w:tcW w:w="8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Annual Amortization</w:t>
            </w:r>
          </w:p>
        </w:tc>
      </w:tr>
      <w:tr>
        <w:trPr/>
        <w:tc>
          <w:tcPr>
            <w:tcW w:w="223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2026 (remainder of year)</w:t>
            </w:r>
          </w:p>
        </w:tc>
        <w:tc>
          <w:tcPr>
            <w:tcW w:w="65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0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48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w:t>
            </w: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215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48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215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48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2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5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500"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483"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Changes to goodwill during YTD 2026 were as follows:</w:t>
      </w:r>
    </w:p>
    <w:tbl>
      <w:tblPr>
        <w:tblW w:w="4085" w:type="dxa"/>
        <w:jc w:val="left"/>
        <w:tblInd w:w="0" w:type="dxa"/>
        <w:tblLayout w:type="fixed"/>
        <w:tblCellMar>
          <w:top w:w="28" w:type="dxa"/>
          <w:left w:w="28" w:type="dxa"/>
          <w:bottom w:w="28" w:type="dxa"/>
          <w:right w:w="28" w:type="dxa"/>
        </w:tblCellMar>
      </w:tblPr>
      <w:tblGrid>
        <w:gridCol w:w="1112"/>
        <w:gridCol w:w="975"/>
        <w:gridCol w:w="987"/>
        <w:gridCol w:w="211"/>
        <w:gridCol w:w="64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28, 2025</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1,113</w:t>
            </w:r>
            <w:r>
              <w:rPr>
                <w:color w:val="000000"/>
              </w:rPr>
              <w:t>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SomaLogic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28, 2026</w:t>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1,284</w:t>
            </w:r>
            <w:r>
              <w:rPr>
                <w:color w:val="000000"/>
              </w:rPr>
              <w:t> </w:t>
            </w:r>
          </w:p>
        </w:tc>
        <w:tc>
          <w:tcPr>
            <w:tcW w:w="15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60" w:after="283"/>
        <w:jc w:val="left"/>
        <w:rPr>
          <w:rFonts w:ascii="Arial;sans-serif" w:hAnsi="Arial;sans-serif"/>
          <w:b w:val="false"/>
          <w:color w:val="000000"/>
          <w:sz w:val="20"/>
        </w:rPr>
      </w:pPr>
      <w:r>
        <w:rPr>
          <w:rFonts w:ascii="Arial;sans-serif" w:hAnsi="Arial;sans-serif"/>
          <w:b w:val="false"/>
          <w:color w:val="000000"/>
          <w:sz w:val="20"/>
        </w:rPr>
        <w:t xml:space="preserve">Goodwill is reviewed for impairment annually, during the second quarter, or more frequently if an event occurs indicating the potential for impairment. We performed our annual assessment in Q2 2026, noting no impairment.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34" w:type="dxa"/>
        <w:jc w:val="left"/>
        <w:tblInd w:w="0" w:type="dxa"/>
        <w:tblLayout w:type="fixed"/>
        <w:tblCellMar>
          <w:top w:w="28" w:type="dxa"/>
          <w:left w:w="28" w:type="dxa"/>
          <w:bottom w:w="28" w:type="dxa"/>
          <w:right w:w="28" w:type="dxa"/>
        </w:tblCellMar>
      </w:tblPr>
      <w:tblGrid>
        <w:gridCol w:w="426"/>
        <w:gridCol w:w="375"/>
        <w:gridCol w:w="533"/>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3. REVENUE</w:t>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Our revenue is generated from the sale of products and services. Product revenue consists of sales of instruments and consumables used in genetic analysis. Service and other revenue consists of revenue generated from genotyping and sequencing services, instrument service contracts, and development and licensing agreements.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Revenue by Source</w:t>
      </w:r>
    </w:p>
    <w:tbl>
      <w:tblPr>
        <w:tblW w:w="9975" w:type="dxa"/>
        <w:jc w:val="left"/>
        <w:tblInd w:w="0" w:type="dxa"/>
        <w:tblLayout w:type="fixed"/>
        <w:tblCellMar>
          <w:top w:w="28" w:type="dxa"/>
          <w:left w:w="28" w:type="dxa"/>
          <w:bottom w:w="28" w:type="dxa"/>
          <w:right w:w="28" w:type="dxa"/>
        </w:tblCellMar>
      </w:tblPr>
      <w:tblGrid>
        <w:gridCol w:w="869"/>
        <w:gridCol w:w="760"/>
        <w:gridCol w:w="770"/>
        <w:gridCol w:w="229"/>
        <w:gridCol w:w="702"/>
        <w:gridCol w:w="120"/>
        <w:gridCol w:w="109"/>
        <w:gridCol w:w="109"/>
        <w:gridCol w:w="109"/>
        <w:gridCol w:w="245"/>
        <w:gridCol w:w="559"/>
        <w:gridCol w:w="127"/>
        <w:gridCol w:w="109"/>
        <w:gridCol w:w="109"/>
        <w:gridCol w:w="109"/>
        <w:gridCol w:w="211"/>
        <w:gridCol w:w="646"/>
        <w:gridCol w:w="109"/>
        <w:gridCol w:w="109"/>
        <w:gridCol w:w="109"/>
        <w:gridCol w:w="109"/>
        <w:gridCol w:w="229"/>
        <w:gridCol w:w="702"/>
        <w:gridCol w:w="120"/>
        <w:gridCol w:w="109"/>
        <w:gridCol w:w="109"/>
        <w:gridCol w:w="109"/>
        <w:gridCol w:w="245"/>
        <w:gridCol w:w="559"/>
        <w:gridCol w:w="127"/>
        <w:gridCol w:w="109"/>
        <w:gridCol w:w="109"/>
        <w:gridCol w:w="109"/>
        <w:gridCol w:w="211"/>
        <w:gridCol w:w="64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Sequencing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Microarray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Sequencing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Microarray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9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Consumables</w:t>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775</w:t>
            </w:r>
            <w:r>
              <w:rPr>
                <w:color w:val="000000"/>
              </w:rPr>
              <w:t> </w:t>
            </w:r>
          </w:p>
        </w:tc>
        <w:tc>
          <w:tcPr>
            <w:tcW w:w="12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120"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2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Instruments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product revenue</w:t>
            </w:r>
          </w:p>
        </w:tc>
        <w:tc>
          <w:tcPr>
            <w:tcW w:w="93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900</w:t>
            </w:r>
            <w:r>
              <w:rPr>
                <w:color w:val="000000"/>
              </w:rPr>
              <w:t> </w:t>
            </w:r>
          </w:p>
        </w:tc>
        <w:tc>
          <w:tcPr>
            <w:tcW w:w="120"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12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836 </w:t>
            </w:r>
          </w:p>
        </w:tc>
        <w:tc>
          <w:tcPr>
            <w:tcW w:w="120"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2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and other revenue</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2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1,054</w:t>
            </w:r>
            <w:r>
              <w:rPr>
                <w:color w:val="000000"/>
              </w:rPr>
              <w:t> </w:t>
            </w:r>
          </w:p>
        </w:tc>
        <w:tc>
          <w:tcPr>
            <w:tcW w:w="120"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5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12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120"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2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Sequencing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Microarray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Sequencing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Microarray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Consumables</w:t>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1,500</w:t>
            </w:r>
            <w:r>
              <w:rPr>
                <w:color w:val="000000"/>
              </w:rPr>
              <w:t> </w:t>
            </w:r>
          </w:p>
        </w:tc>
        <w:tc>
          <w:tcPr>
            <w:tcW w:w="12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w:t>
            </w:r>
            <w:r>
              <w:rPr>
                <w:color w:val="000000"/>
              </w:rPr>
              <w:t> </w:t>
            </w:r>
          </w:p>
        </w:tc>
        <w:tc>
          <w:tcPr>
            <w:tcW w:w="1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1,649</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2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Instruments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product revenue</w:t>
            </w:r>
          </w:p>
        </w:tc>
        <w:tc>
          <w:tcPr>
            <w:tcW w:w="9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1,743</w:t>
            </w:r>
            <w:r>
              <w:rPr>
                <w:color w:val="000000"/>
              </w:rPr>
              <w:t> </w:t>
            </w:r>
          </w:p>
        </w:tc>
        <w:tc>
          <w:tcPr>
            <w:tcW w:w="12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w:t>
            </w:r>
            <w:r>
              <w:rPr>
                <w:color w:val="000000"/>
              </w:rPr>
              <w:t> </w:t>
            </w:r>
          </w:p>
        </w:tc>
        <w:tc>
          <w:tcPr>
            <w:tcW w:w="1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1,899</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1,641 </w:t>
            </w:r>
          </w:p>
        </w:tc>
        <w:tc>
          <w:tcPr>
            <w:tcW w:w="12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2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and other revenue</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2,049</w:t>
            </w:r>
            <w:r>
              <w:rPr>
                <w:color w:val="000000"/>
              </w:rPr>
              <w:t> </w:t>
            </w:r>
          </w:p>
        </w:tc>
        <w:tc>
          <w:tcPr>
            <w:tcW w:w="12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5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w:t>
            </w:r>
            <w:r>
              <w:rPr>
                <w:color w:val="000000"/>
              </w:rPr>
              <w:t> </w:t>
            </w:r>
          </w:p>
        </w:tc>
        <w:tc>
          <w:tcPr>
            <w:tcW w:w="1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2,251</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1,918 </w:t>
            </w:r>
          </w:p>
        </w:tc>
        <w:tc>
          <w:tcPr>
            <w:tcW w:w="12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2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Revenue by Geographic Area</w:t>
      </w:r>
    </w:p>
    <w:tbl>
      <w:tblPr>
        <w:tblW w:w="9098" w:type="dxa"/>
        <w:jc w:val="left"/>
        <w:tblInd w:w="0" w:type="dxa"/>
        <w:tblLayout w:type="fixed"/>
        <w:tblCellMar>
          <w:top w:w="28" w:type="dxa"/>
          <w:left w:w="28" w:type="dxa"/>
          <w:bottom w:w="28" w:type="dxa"/>
          <w:right w:w="28" w:type="dxa"/>
        </w:tblCellMar>
      </w:tblPr>
      <w:tblGrid>
        <w:gridCol w:w="1503"/>
        <w:gridCol w:w="1324"/>
        <w:gridCol w:w="132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22"/>
        <w:gridCol w:w="681"/>
        <w:gridCol w:w="162"/>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Based on region of destination (in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Q2 2025</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YTD 2025</w:t>
            </w:r>
            <w:r>
              <w:rPr>
                <w:color w:val="000000"/>
              </w:rPr>
              <w:t xml:space="preserve"> </w:t>
            </w:r>
            <w:r>
              <w:rPr>
                <w:rFonts w:ascii="Arial;sans-serif" w:hAnsi="Arial;sans-serif"/>
                <w:b/>
                <w:color w:val="000000"/>
                <w:sz w:val="10"/>
              </w:rPr>
              <w:t>(1)</w:t>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 and Canada</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653</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1,243</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6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Europe, Middle East, Africa and Latin America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Greater China </w:t>
            </w:r>
            <w:r>
              <w:rPr>
                <w:rFonts w:ascii="Arial;sans-serif" w:hAnsi="Arial;sans-serif"/>
                <w:b w:val="false"/>
                <w:color w:val="000000"/>
                <w:sz w:val="10"/>
              </w:rPr>
              <w:t>(2)</w:t>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6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Asia-Pacific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2,251</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6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We implemented a new global commercial structure in Q1 2026 to improve operating efficiencies and better align with local markets. Beginning in Q1 2026, we began reporting regional results for: United States and Canada (USCAN), Europe, Middle East, Africa and Latin America (EMEALA), Greater China, and Asia-Pacific (APAC). Prior period amounts were reclassified to conform to this new presentation. </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Region includes revenue from China, Taiwan, and Hong Kong.</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Contract Assets and Liabilities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Contract assets, which consist of revenue recognized and performance obligations satisfied or partially satisfied in advance of customer billing, as of June 28, 2026 and December 28, 2025 were $20 million and $21 million, respectively, all of which were short-term and recorded in prepaid expenses and other current assets.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Contract liabilities, consisting of deferred revenue and customer deposits, as of June 28, 2026 and December 28, 2025, were $333 million and $346 million, respectively, of which the short-term portions of $261 million and $270 million, respectively, were recorded in accrued liabilities and the remaining long-term portions were recorded in other long-term liabilities. Revenue recorded in Q2 2026 and YTD 2026 included $71 million and $169 million, respectively, of previously deferred revenue that was included in contract liabilities as of December 28, 2025.</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Remaining Performance Obligations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We regularly enter into contracts with multiple performance obligations. These contracts are believed to be firm as of the balance sheet date; however, we may allow customers to make product substitutions as we launch new products. The timing of shipments depends on several factors, including agreed upon shipping schedules, which may span multiple quarters. Most performance obligations are generally satisfied within approximately six months after the contract execution date and primarily consist of instruments, consumables, and instrument service contracts. As of June 28, 2026, the aggregate amount of the transaction price allocated to these remaining performance obligations was $1.0 billion, of which approximately 83% is expected to be converted to revenue in the next twelve months, approximately 11% in the following twelve months, and the remainder thereafter.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also enter into various development and licensing contracts. These contracts are believed to be firm as of the balance sheet date; however, these arrangements do allow for early termination with prorated fees. These contracts generally have delivery periods spanning several years. As of June 28, 2026, the aggregate amount of the transaction price allocated to these remaining performance obligations was approximately $43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19" w:type="dxa"/>
        <w:jc w:val="left"/>
        <w:tblInd w:w="0" w:type="dxa"/>
        <w:tblLayout w:type="fixed"/>
        <w:tblCellMar>
          <w:top w:w="28" w:type="dxa"/>
          <w:left w:w="28" w:type="dxa"/>
          <w:bottom w:w="28" w:type="dxa"/>
          <w:right w:w="28" w:type="dxa"/>
        </w:tblCellMar>
      </w:tblPr>
      <w:tblGrid>
        <w:gridCol w:w="1670"/>
        <w:gridCol w:w="1468"/>
        <w:gridCol w:w="2081"/>
      </w:tblGrid>
      <w:tr>
        <w:trPr/>
        <w:tc>
          <w:tcPr>
            <w:tcW w:w="167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4. INVESTMENTS AND FAIR VALUE MEASUREMENTS</w:t>
            </w:r>
          </w:p>
        </w:tc>
      </w:tr>
    </w:tbl>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Strategic Investments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Marketable Equity Securities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Our marketable equity securities consist primarily of our retained investment in GRAIL subsequent to our divestiture in 2024. As of June 28, 2026 and December 28, 2025, the fair value of our marketable equity securities, included in short-term investments, totaled $88 million and $215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Gains (losses) recognized in other income (expense), net on marketable equity securities were as follows:</w:t>
      </w:r>
    </w:p>
    <w:tbl>
      <w:tblPr>
        <w:tblW w:w="10205" w:type="dxa"/>
        <w:jc w:val="left"/>
        <w:tblInd w:w="0" w:type="dxa"/>
        <w:tblLayout w:type="fixed"/>
        <w:tblCellMar>
          <w:top w:w="28" w:type="dxa"/>
          <w:left w:w="28" w:type="dxa"/>
          <w:bottom w:w="28" w:type="dxa"/>
          <w:right w:w="28" w:type="dxa"/>
        </w:tblCellMar>
      </w:tblPr>
      <w:tblGrid>
        <w:gridCol w:w="2278"/>
        <w:gridCol w:w="1917"/>
        <w:gridCol w:w="1926"/>
        <w:gridCol w:w="218"/>
        <w:gridCol w:w="389"/>
        <w:gridCol w:w="112"/>
        <w:gridCol w:w="109"/>
        <w:gridCol w:w="109"/>
        <w:gridCol w:w="109"/>
        <w:gridCol w:w="218"/>
        <w:gridCol w:w="389"/>
        <w:gridCol w:w="112"/>
        <w:gridCol w:w="109"/>
        <w:gridCol w:w="109"/>
        <w:gridCol w:w="109"/>
        <w:gridCol w:w="225"/>
        <w:gridCol w:w="446"/>
        <w:gridCol w:w="116"/>
        <w:gridCol w:w="109"/>
        <w:gridCol w:w="109"/>
        <w:gridCol w:w="109"/>
        <w:gridCol w:w="216"/>
        <w:gridCol w:w="495"/>
        <w:gridCol w:w="167"/>
      </w:tblGrid>
      <w:tr>
        <w:trPr/>
        <w:tc>
          <w:tcPr>
            <w:tcW w:w="227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612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gains (losses) recognized during the period</w:t>
            </w:r>
          </w:p>
        </w:tc>
        <w:tc>
          <w:tcPr>
            <w:tcW w:w="2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1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1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1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Net gains recognized during the period on securities sold during the period</w:t>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gains (losses) recognized during the period on securities still held at the reporting date</w:t>
            </w:r>
          </w:p>
        </w:tc>
        <w:tc>
          <w:tcPr>
            <w:tcW w:w="2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1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1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1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Non-Marketable Equity Securities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As of June 28, 2026 and December 28, 2025, non-marketable equity securities, without readily determinable fair values, included in other assets, were $59 million and $58 million, respectively.</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Venture Funds</w:t>
      </w:r>
    </w:p>
    <w:p>
      <w:pPr>
        <w:pStyle w:val="TextBody"/>
        <w:bidi w:val="0"/>
        <w:spacing w:lineRule="auto" w:line="288" w:before="260" w:after="283"/>
        <w:jc w:val="left"/>
        <w:rPr/>
      </w:pPr>
      <w:r>
        <w:rPr>
          <w:rFonts w:ascii="Arial;sans-serif" w:hAnsi="Arial;sans-serif"/>
          <w:b w:val="false"/>
          <w:color w:val="000000"/>
          <w:sz w:val="20"/>
        </w:rPr>
        <w:t>We invest in three venture capital investment funds (the Funds), which are accounted for as equity-method investments. The aggregate carrying amount of the Funds, included in other assets, was $273 million and $235 million as of June 28, 2026 and December 28, 2025, respectively, with associated gains and losses recognized in other income (expense), net. We recognized net gains of $7 million and $14 million in Q2 2026 and YTD 2026, respectively, and net gains of $6 million and $8 million</w:t>
      </w:r>
      <w:r>
        <w:rPr>
          <w:color w:val="000000"/>
        </w:rPr>
        <w:t xml:space="preserve"> </w:t>
      </w:r>
      <w:r>
        <w:rPr>
          <w:rFonts w:ascii="Arial;sans-serif" w:hAnsi="Arial;sans-serif"/>
          <w:b w:val="false"/>
          <w:color w:val="000000"/>
          <w:sz w:val="20"/>
        </w:rPr>
        <w:t>in Q2 2025 and YTD 2025, respectively.</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Our commitments to the Funds are as follows:</w:t>
      </w:r>
    </w:p>
    <w:tbl>
      <w:tblPr>
        <w:tblW w:w="8255" w:type="dxa"/>
        <w:jc w:val="left"/>
        <w:tblInd w:w="0" w:type="dxa"/>
        <w:tblLayout w:type="fixed"/>
        <w:tblCellMar>
          <w:top w:w="28" w:type="dxa"/>
          <w:left w:w="28" w:type="dxa"/>
          <w:bottom w:w="28" w:type="dxa"/>
          <w:right w:w="28" w:type="dxa"/>
        </w:tblCellMar>
      </w:tblPr>
      <w:tblGrid>
        <w:gridCol w:w="494"/>
        <w:gridCol w:w="433"/>
        <w:gridCol w:w="437"/>
        <w:gridCol w:w="425"/>
        <w:gridCol w:w="973"/>
        <w:gridCol w:w="221"/>
        <w:gridCol w:w="109"/>
        <w:gridCol w:w="109"/>
        <w:gridCol w:w="109"/>
        <w:gridCol w:w="544"/>
        <w:gridCol w:w="544"/>
        <w:gridCol w:w="546"/>
        <w:gridCol w:w="109"/>
        <w:gridCol w:w="109"/>
        <w:gridCol w:w="109"/>
        <w:gridCol w:w="847"/>
        <w:gridCol w:w="1512"/>
        <w:gridCol w:w="625"/>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Capital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Callable through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Remaining callable as of June 28, 2026</w:t>
            </w:r>
          </w:p>
        </w:tc>
      </w:tr>
      <w:tr>
        <w:trPr/>
        <w:tc>
          <w:tcPr>
            <w:tcW w:w="136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Fund I</w:t>
            </w:r>
          </w:p>
        </w:tc>
        <w:tc>
          <w:tcPr>
            <w:tcW w:w="42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21"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2027</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25"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Fund II</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Fund III</w:t>
            </w:r>
          </w:p>
        </w:tc>
        <w:tc>
          <w:tcPr>
            <w:tcW w:w="425"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3"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2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2034</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2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Fair Value Measurements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following table presents the hierarchy for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683"/>
        <w:gridCol w:w="354"/>
        <w:gridCol w:w="319"/>
        <w:gridCol w:w="211"/>
        <w:gridCol w:w="481"/>
        <w:gridCol w:w="109"/>
        <w:gridCol w:w="109"/>
        <w:gridCol w:w="109"/>
        <w:gridCol w:w="109"/>
        <w:gridCol w:w="211"/>
        <w:gridCol w:w="481"/>
        <w:gridCol w:w="109"/>
        <w:gridCol w:w="109"/>
        <w:gridCol w:w="109"/>
        <w:gridCol w:w="109"/>
        <w:gridCol w:w="211"/>
        <w:gridCol w:w="406"/>
        <w:gridCol w:w="109"/>
        <w:gridCol w:w="109"/>
        <w:gridCol w:w="109"/>
        <w:gridCol w:w="109"/>
        <w:gridCol w:w="211"/>
        <w:gridCol w:w="481"/>
        <w:gridCol w:w="109"/>
        <w:gridCol w:w="109"/>
        <w:gridCol w:w="109"/>
        <w:gridCol w:w="109"/>
        <w:gridCol w:w="211"/>
        <w:gridCol w:w="646"/>
        <w:gridCol w:w="109"/>
        <w:gridCol w:w="109"/>
        <w:gridCol w:w="109"/>
        <w:gridCol w:w="109"/>
        <w:gridCol w:w="211"/>
        <w:gridCol w:w="406"/>
        <w:gridCol w:w="109"/>
        <w:gridCol w:w="109"/>
        <w:gridCol w:w="109"/>
        <w:gridCol w:w="109"/>
        <w:gridCol w:w="211"/>
        <w:gridCol w:w="406"/>
        <w:gridCol w:w="109"/>
        <w:gridCol w:w="109"/>
        <w:gridCol w:w="109"/>
        <w:gridCol w:w="109"/>
        <w:gridCol w:w="211"/>
        <w:gridCol w:w="646"/>
        <w:gridCol w:w="156"/>
      </w:tblGrid>
      <w:tr>
        <w:trPr/>
        <w:tc>
          <w:tcPr>
            <w:tcW w:w="6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28, 2025</w:t>
            </w:r>
          </w:p>
        </w:tc>
      </w:tr>
      <w:tr>
        <w:trPr/>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Assets:</w:t>
            </w:r>
          </w:p>
        </w:tc>
        <w:tc>
          <w:tcPr>
            <w:tcW w:w="80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equity securities</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investments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plan assets</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measured at fair value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Liabilities:</w:t>
            </w:r>
          </w:p>
        </w:tc>
        <w:tc>
          <w:tcPr>
            <w:tcW w:w="801"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compensation plan liabilities</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Marketable equity securities are measured at fair value based on quoted trade prices in active markets. Other investments primarily consist of time deposits, which are included in short-term investments and classified as Level 2 measurements, and convertible notes, included in other assets and classified as Level 3 measurements. Due to their short-term contractual maturity, the carrying value of our time deposits, measured at amortized cost, approximates fair value. We elected the fair value option for our convertible notes. Fair value is derived using a probability-weighted scenario approach with changes in fair value recognized in other income (expense), net. Deferred compensation plan assets consist primarily of investments in life insurance contracts carried at cash surrender value, which reflects the net asset value of the underlying publicly traded mutual funds. We corroborate the fair value of our holdings, comparing valuations obtained from our investment service provider to valuations reported by our asset custodians, validating pricing sources and models, and reviewing key model inputs.</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Contingent Consideration Liabilities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We reassess the fair value of acquisition-related contingent consideration on a quarterly basis, with changes in the fair value subsequent to the acquisition date, recognized in selling, general and administrative expense.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Changes in the estimated fair value of our contingent consideration liabilities during YTD 2026 were as follows:</w:t>
      </w:r>
    </w:p>
    <w:tbl>
      <w:tblPr>
        <w:tblW w:w="4033" w:type="dxa"/>
        <w:jc w:val="left"/>
        <w:tblInd w:w="0" w:type="dxa"/>
        <w:tblLayout w:type="fixed"/>
        <w:tblCellMar>
          <w:top w:w="28" w:type="dxa"/>
          <w:left w:w="28" w:type="dxa"/>
          <w:bottom w:w="28" w:type="dxa"/>
          <w:right w:w="28" w:type="dxa"/>
        </w:tblCellMar>
      </w:tblPr>
      <w:tblGrid>
        <w:gridCol w:w="1112"/>
        <w:gridCol w:w="975"/>
        <w:gridCol w:w="987"/>
        <w:gridCol w:w="109"/>
        <w:gridCol w:w="109"/>
        <w:gridCol w:w="211"/>
        <w:gridCol w:w="37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December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Acquisition of SomaLogic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estimated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June 28,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SomaLogic Acquisition</w:t>
      </w:r>
    </w:p>
    <w:p>
      <w:pPr>
        <w:pStyle w:val="TextBody"/>
        <w:bidi w:val="0"/>
        <w:spacing w:lineRule="auto" w:line="288" w:before="260" w:after="283"/>
        <w:jc w:val="left"/>
        <w:rPr/>
      </w:pPr>
      <w:r>
        <w:rPr>
          <w:rFonts w:ascii="Arial;sans-serif" w:hAnsi="Arial;sans-serif"/>
          <w:b w:val="false"/>
          <w:color w:val="000000"/>
          <w:sz w:val="20"/>
        </w:rPr>
        <w:t xml:space="preserve">In Q2 2026, we paid $25 million for the milestone payment earned for the 2025 performance period. As of June 28, 2026, our remaining SomaLogic contingent consideration liabilities, included in accrued liabilities, had an aggregate fair value of $37 million. See note </w:t>
      </w:r>
      <w:hyperlink w:anchor="id13d7d1498ca40b9b8840c98b90cc42c_40">
        <w:r>
          <w:rPr>
            <w:rStyle w:val="InternetLink"/>
            <w:rFonts w:ascii="Arial;sans-serif" w:hAnsi="Arial;sans-serif"/>
            <w:b w:val="false"/>
            <w:color w:val="0000FF"/>
            <w:sz w:val="20"/>
            <w:u w:val="single"/>
          </w:rPr>
          <w:t>2. Acquisitions, Intangible Assets and Goodwill</w:t>
        </w:r>
      </w:hyperlink>
      <w:r>
        <w:rPr>
          <w:color w:val="000000"/>
        </w:rPr>
        <w:t xml:space="preserve"> </w:t>
      </w:r>
      <w:r>
        <w:rPr>
          <w:rFonts w:ascii="Arial;sans-serif" w:hAnsi="Arial;sans-serif"/>
          <w:b w:val="false"/>
          <w:color w:val="000000"/>
          <w:sz w:val="20"/>
        </w:rPr>
        <w:t>for details of the arrangements. During Q2 2026, we engaged in discussions to early buyout the 2026 Milestone and Royalty Contingent Consideration obligations. Accordingly, we used a probability-weighted scenario approach to estimate the fair value of the liabilities as of June 28, 2026. Under this approach, we assigned separate probabilities to the estimated buyout outcome and to the value derived under the original contractual terms. To estimate the fair value under the original contractual terms, a Monte Carlo simulation was used for the 2026 Milestone Contingent Consideration and a discounted cash flow analysis was used for the Royalty Contingent Consideration. Estimates and assumptions used in the Monte Carlo simulation and the discounted cash flow analysis included forecasted revenues, a revenue risk premium, an operational leverage ratio and a counterparty credit spread. An estimate for revenue volatility was also used in the Monte Carlo simulation. These unobservable inputs represent a Level 3 measurement because they are supported by little or no market activity and reflect our own assumptions in measuring fair value. On July 27, 2026, we paid $30 million to buyout the remaining obligations that were outstanding as of June 28, 2026.</w:t>
      </w:r>
    </w:p>
    <w:p>
      <w:pPr>
        <w:pStyle w:val="TextBody"/>
        <w:bidi w:val="0"/>
        <w:spacing w:lineRule="auto" w:line="288" w:before="260" w:after="283"/>
        <w:jc w:val="left"/>
        <w:rPr>
          <w:rFonts w:ascii="Arial;sans-serif" w:hAnsi="Arial;sans-serif"/>
          <w:b/>
          <w:i/>
          <w:color w:val="000000"/>
          <w:sz w:val="20"/>
        </w:rPr>
      </w:pPr>
      <w:r>
        <w:rPr>
          <w:rFonts w:ascii="Arial;sans-serif" w:hAnsi="Arial;sans-serif"/>
          <w:b/>
          <w:i/>
          <w:color w:val="000000"/>
          <w:sz w:val="20"/>
        </w:rPr>
        <w:t>GRAIL Acquisition</w:t>
      </w:r>
    </w:p>
    <w:p>
      <w:pPr>
        <w:pStyle w:val="TextBody"/>
        <w:bidi w:val="0"/>
        <w:spacing w:lineRule="auto" w:line="288" w:before="260" w:after="283"/>
        <w:jc w:val="left"/>
        <w:rPr/>
      </w:pPr>
      <w:r>
        <w:rPr>
          <w:rFonts w:ascii="Arial;sans-serif" w:hAnsi="Arial;sans-serif"/>
          <w:b w:val="false"/>
          <w:color w:val="000000"/>
          <w:sz w:val="20"/>
        </w:rPr>
        <w:t xml:space="preserve">The fair value of our GRAIL contingent consideration liability was $40 million and $54 million as of June 28, 2026 and December 28, 2025, respectively, of which $39 million and $52 million, respectively, was included in other long-term liabilities, with the remaining balance included in accrued liabilities. The CVRs entitle the holders to receive future quarterly cash payments (Covered Revenue Payments) representing a pro rata portion of certain GRAIL-related revenues (Covered Revenues) each year for a 12-year period through August 2033. As defined in the </w:t>
      </w:r>
      <w:hyperlink r:id="rId7">
        <w:r>
          <w:rPr>
            <w:rStyle w:val="InternetLink"/>
            <w:rFonts w:ascii="Arial;sans-serif" w:hAnsi="Arial;sans-serif"/>
            <w:b w:val="false"/>
            <w:color w:val="0000FF"/>
            <w:sz w:val="20"/>
            <w:u w:val="single"/>
          </w:rPr>
          <w:t>Contingent Value Rights Agreement</w:t>
        </w:r>
      </w:hyperlink>
      <w:r>
        <w:rPr>
          <w:rFonts w:ascii="Arial;sans-serif" w:hAnsi="Arial;sans-serif"/>
          <w:b w:val="false"/>
          <w:color w:val="000000"/>
          <w:sz w:val="20"/>
        </w:rPr>
        <w:t xml:space="preserve">, this reflects a 2.5% payment right to the first $1 billion of revenue each year for 12 years. Revenue above $1 billion each year will be subject to a 9% contingent payment right during this same period. Covered Revenues for the periods Q4 2025 through Q1 2026 and Q4 2024 through Q1 2025 were $84 million and $70 million, respectively, driven primarily by sales of GRAIL’s Galleri test. Covered Revenue Payments for the respective periods were $794,000 and $660,000, paid in YTD 2026 and YTD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We use a Monte Carlo simulation to estimate the fair value of our GRAIL contingent consideration. Estimates and assumptions used in the Monte Carlo simulation include forecasted revenues for GRAIL, a revenue risk premium, a revenue volatility estimate, an operational leverage ratio and a counterparty credit spread. These unobservable inputs represent a Level 3 measurement because they are supported by little or no market activity and reflect our own assumptions in measuring fair value. We rely on information made public by GRAIL and information published in analyst reports to estimate forecasted revenues through August 2033. To estimate the liability as of June 28, 2026, we selected a revenue risk premium of 3%. Given the volatility in GRAIL’s market capitalization, the revenue risk premium is derived from reconciling forecasted revenues for GRAIL to GRAIL’s market capitalization, primarily using a 60-day trailing average and consideration of a Capital Asset Pricing Model and comparable company betas.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4" w:type="dxa"/>
        <w:jc w:val="left"/>
        <w:tblInd w:w="0" w:type="dxa"/>
        <w:tblLayout w:type="fixed"/>
        <w:tblCellMar>
          <w:top w:w="28" w:type="dxa"/>
          <w:left w:w="28" w:type="dxa"/>
          <w:bottom w:w="28" w:type="dxa"/>
          <w:right w:w="28" w:type="dxa"/>
        </w:tblCellMar>
      </w:tblPr>
      <w:tblGrid>
        <w:gridCol w:w="292"/>
        <w:gridCol w:w="257"/>
        <w:gridCol w:w="36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5. DEBT</w:t>
            </w:r>
          </w:p>
        </w:tc>
      </w:tr>
    </w:tbl>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Summary of Term Debt Obligations</w:t>
      </w:r>
    </w:p>
    <w:tbl>
      <w:tblPr>
        <w:tblW w:w="6931" w:type="dxa"/>
        <w:jc w:val="left"/>
        <w:tblInd w:w="0" w:type="dxa"/>
        <w:tblLayout w:type="fixed"/>
        <w:tblCellMar>
          <w:top w:w="28" w:type="dxa"/>
          <w:left w:w="28" w:type="dxa"/>
          <w:bottom w:w="28" w:type="dxa"/>
          <w:right w:w="28" w:type="dxa"/>
        </w:tblCellMar>
      </w:tblPr>
      <w:tblGrid>
        <w:gridCol w:w="1599"/>
        <w:gridCol w:w="1403"/>
        <w:gridCol w:w="1422"/>
        <w:gridCol w:w="211"/>
        <w:gridCol w:w="646"/>
        <w:gridCol w:w="109"/>
        <w:gridCol w:w="109"/>
        <w:gridCol w:w="109"/>
        <w:gridCol w:w="109"/>
        <w:gridCol w:w="253"/>
        <w:gridCol w:w="776"/>
        <w:gridCol w:w="185"/>
      </w:tblGrid>
      <w:tr>
        <w:trPr/>
        <w:tc>
          <w:tcPr>
            <w:tcW w:w="15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28,</w:t>
              <w:br/>
              <w:t>2025</w:t>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amount of 2026 Term Notes outstanding</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5"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amount of 2027 Term Notes outstanding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amount of 2030 Term Notes outstanding</w:t>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amount of 2031 Term Notes outstanding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Unamortized discounts and debt issuance costs</w:t>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carrying amount of term debt</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Term debt, non-current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Fair value of term debt outstanding (Level 2)</w:t>
            </w:r>
          </w:p>
        </w:tc>
        <w:tc>
          <w:tcPr>
            <w:tcW w:w="211" w:type="dxa"/>
            <w:tcBorders>
              <w:top w:val="doub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1,959</w:t>
            </w:r>
            <w:r>
              <w:rPr>
                <w:color w:val="000000"/>
              </w:rPr>
              <w:t> </w:t>
            </w:r>
          </w:p>
        </w:tc>
        <w:tc>
          <w:tcPr>
            <w:tcW w:w="109" w:type="dxa"/>
            <w:tcBorders>
              <w:top w:val="doub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doub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1,977 </w:t>
            </w:r>
          </w:p>
        </w:tc>
        <w:tc>
          <w:tcPr>
            <w:tcW w:w="185" w:type="dxa"/>
            <w:tcBorders>
              <w:top w:val="doub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Interest expense, which included amortization of debt discounts and issuance costs, was $23 million and $46 million in Q2 2026 and YTD 2026, respectively, and $24 million and $49 million in Q2 2025 and YTD 2025, respectively.</w:t>
      </w:r>
    </w:p>
    <w:p>
      <w:pPr>
        <w:pStyle w:val="TextBody"/>
        <w:bidi w:val="0"/>
        <w:spacing w:lineRule="auto" w:line="288" w:before="260" w:after="283"/>
        <w:jc w:val="left"/>
        <w:rPr>
          <w:rFonts w:ascii="Arial;sans-serif" w:hAnsi="Arial;sans-serif"/>
          <w:b/>
          <w:color w:val="000000"/>
          <w:sz w:val="20"/>
          <w:shd w:fill="FFFFFF" w:val="clear"/>
        </w:rPr>
      </w:pPr>
      <w:r>
        <w:rPr>
          <w:rFonts w:ascii="Arial;sans-serif" w:hAnsi="Arial;sans-serif"/>
          <w:b/>
          <w:color w:val="000000"/>
          <w:sz w:val="20"/>
          <w:shd w:fill="FFFFFF" w:val="clear"/>
        </w:rPr>
        <w:t>4.750% Term Notes due 2030 (2030 Term Notes)</w:t>
      </w:r>
    </w:p>
    <w:p>
      <w:pPr>
        <w:pStyle w:val="TextBody"/>
        <w:bidi w:val="0"/>
        <w:spacing w:lineRule="auto" w:line="288" w:before="26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November 2025, we issued $500 million aggregate principal amount of 2030 Term Notes, which mature on December 12, 2030 and accrue interest at a rate of 4.750% per annum, payable semi-annually on June 12 and December 12 of each year, beginning on June 12, 2026. We may redeem for cash all or any portion of the notes, at our option, at any time prior to maturity at make-whole premium redemption prices defined in the form of the notes.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4.650% Term Notes due 2026 (2026 Term Notes)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September 2024, we issued $500 million aggregate principal amount of 2026 Term Notes, which mature on September 9, 2026 and accrue interest at a rate of 4.650% per annum, payable semi-annually on March 9 and September 9 of each year, beginning on March 9, 2025. We may redeem for cash all or any portion of the notes, at our option, at any time prior to maturity at make-whole premium redemption prices defined in the form of the notes.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5.750% Term Notes due 2027 (2027 Term Notes)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In December 2022, we issued $500 million aggregate principal amount of 2027 Term Notes, which mature on December 13, 2027 and accrue interest at a rate of 5.750% per annum, payable semi-annually on June 13 and December 13 of each year. We may redeem for cash all or any portion of the notes, at our option, at any time prior to maturity. Prior to November 13, 2027, the notes are redeemable at make-whole premium redemption prices defined in the form of the notes. After November 13, 2027, the notes are redeemable at a redemption price equal to 100% of the principal to be redeemed, plus accrued and unpaid interest up to, but excluding,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2.550% Term Notes due 2031 (2031 Term Notes)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March 2021, we issued $500 million aggregate principal amount of 2031 Term Notes, which mature on March 23, 2031 and accrue interest at a rate of 2.550% per annum, payable semi-annually on March 23 and September 23 of each year. We may redeem for cash all or any portion of the notes, at our option, at any time prior to maturity. Prior to December 23, 2030, the notes are redeemable at make-whole premium redemption prices defined in the form of the notes. After December 23, 2030, the notes are redeemable at a redemption price equal to 100% of the principal to be redeemed, plus accrued and unpaid interest up to, but excluding, the redemption date.</w:t>
      </w:r>
    </w:p>
    <w:p>
      <w:pPr>
        <w:pStyle w:val="TextBody"/>
        <w:bidi w:val="0"/>
        <w:spacing w:lineRule="auto" w:line="288" w:before="260" w:after="283"/>
        <w:jc w:val="both"/>
        <w:rPr>
          <w:rFonts w:ascii="Arial;sans-serif" w:hAnsi="Arial;sans-serif"/>
          <w:b/>
          <w:color w:val="000000"/>
          <w:sz w:val="20"/>
        </w:rPr>
      </w:pPr>
      <w:r>
        <w:rPr>
          <w:rFonts w:ascii="Arial;sans-serif" w:hAnsi="Arial;sans-serif"/>
          <w:b/>
          <w:color w:val="000000"/>
          <w:sz w:val="20"/>
        </w:rPr>
        <w:t>Revolving Credit Agreement</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January 2023, we entered into a credit agreement (the Revolving Credit Agreement), which provides us with a $750 million senior unsecured five-year revolving credit facility, including a $40 million sublimit for swingline borrowings and a $50 million sublimit for letters of credit (the Revolving Credit Facility). Proceeds of the loans under the Revolving Credit Facility may be used to finance working capital needs and for general corporate purposes.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Revolving Credit Facility matures, and all amounts outstanding become due and payable in full, on January 4, 2028, subject to two one-year extensions at our option, the consent of the extending lenders and certain other conditions. We may prepay amounts borrowed and terminate commitments under the Revolving Credit Facility at any time without premium or penalty. As of June 28, 2026, there were no borrowings or letters of credit outstanding under the credit facility, and we were in compliance with all financial and operating covenants.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Loans under the Revolving Credit Facility will have a variable interest rate based on either the term secured overnight financing rate (SOFR) or the alternate base rate, plus an applicable rate that varies with our debt rating and, in the case of loans bearing interest based on term SOFR, a credit spread adjustment equal to 0.10% per annum. The Revolving Credit Agreement includes an option for us to elect to increase commitments under the credit facility or enter into one or more tranches of term loans in the aggregate principal amount of up to $250 million, subject to consent of the lenders providing the additional commitments or loans and certain other conditions.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Revolving Credit Agreement contains financial and operating covenants. Pursuant to the Revolving Credit Agreement, we are required to maintain a ratio of total debt to adjusted annual earnings before interest, taxes, depreciation and amortization (EBITDA), calculated based on the four consecutive fiscal quarters ending with the most recent fiscal quarter, of not greater than 3.50 to 1.00 as of the end of each fiscal quarter. Upon consummation of any Qualified Acquisition, as defined in the Revolving Credit Agreement, and delivery of notice to the Administrative Agent, the ratio increases to 4.00 to 1.00 for the fiscal quarter in which the acquisition is consummated and the three consecutive fiscal quarters thereafter. The operating covenants include, among other things, limitations on (i) the incurrence of indebtedness by our subsidiaries, (ii) liens on our assets and those of our subsidiaries, and (iii) certain fundamental changes and the disposition of assets by us and our subsidiaries. The Credit Agreement contains other customary covenants, representations and warranties, and 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09" w:type="dxa"/>
        <w:jc w:val="left"/>
        <w:tblInd w:w="0" w:type="dxa"/>
        <w:tblLayout w:type="fixed"/>
        <w:tblCellMar>
          <w:top w:w="28" w:type="dxa"/>
          <w:left w:w="28" w:type="dxa"/>
          <w:bottom w:w="28" w:type="dxa"/>
          <w:right w:w="28" w:type="dxa"/>
        </w:tblCellMar>
      </w:tblPr>
      <w:tblGrid>
        <w:gridCol w:w="931"/>
        <w:gridCol w:w="818"/>
        <w:gridCol w:w="1160"/>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 xml:space="preserve">6. STOCKHOLDERS' EQUITY </w:t>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As of June 28, 2026, approximately 9.9 million shares remained available for future grants under the Second Amended and Restated 2015 Stock and Incentive Compensation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Restricted Stock</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Restricted stock activity was as follows:</w:t>
      </w:r>
    </w:p>
    <w:tbl>
      <w:tblPr>
        <w:tblW w:w="10142" w:type="dxa"/>
        <w:jc w:val="left"/>
        <w:tblInd w:w="0" w:type="dxa"/>
        <w:tblLayout w:type="fixed"/>
        <w:tblCellMar>
          <w:top w:w="28" w:type="dxa"/>
          <w:left w:w="28" w:type="dxa"/>
          <w:bottom w:w="28" w:type="dxa"/>
          <w:right w:w="28" w:type="dxa"/>
        </w:tblCellMar>
      </w:tblPr>
      <w:tblGrid>
        <w:gridCol w:w="1141"/>
        <w:gridCol w:w="1003"/>
        <w:gridCol w:w="1006"/>
        <w:gridCol w:w="354"/>
        <w:gridCol w:w="354"/>
        <w:gridCol w:w="356"/>
        <w:gridCol w:w="109"/>
        <w:gridCol w:w="109"/>
        <w:gridCol w:w="109"/>
        <w:gridCol w:w="384"/>
        <w:gridCol w:w="384"/>
        <w:gridCol w:w="386"/>
        <w:gridCol w:w="109"/>
        <w:gridCol w:w="109"/>
        <w:gridCol w:w="109"/>
        <w:gridCol w:w="346"/>
        <w:gridCol w:w="1232"/>
        <w:gridCol w:w="178"/>
        <w:gridCol w:w="178"/>
        <w:gridCol w:w="178"/>
        <w:gridCol w:w="178"/>
        <w:gridCol w:w="346"/>
        <w:gridCol w:w="1232"/>
        <w:gridCol w:w="252"/>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Restricted </w:t>
              <w:br/>
              <w:t xml:space="preserve">Stock Units </w:t>
              <w:b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Performance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Stock Units</w:t>
            </w:r>
          </w:p>
          <w:p>
            <w:pPr>
              <w:pStyle w:val="TableContents"/>
              <w:bidi w:val="0"/>
              <w:spacing w:lineRule="auto" w:line="240" w:before="0" w:after="0"/>
              <w:jc w:val="center"/>
              <w:rPr/>
            </w:pPr>
            <w:r>
              <w:rPr>
                <w:rFonts w:ascii="Arial;sans-serif" w:hAnsi="Arial;sans-serif"/>
                <w:b/>
                <w:color w:val="000000"/>
                <w:sz w:val="16"/>
              </w:rPr>
              <w:t xml:space="preserve">(PSU)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 per Share</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Units in thousands</w:t>
            </w:r>
          </w:p>
        </w:tc>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RSU</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PSU</w:t>
            </w:r>
          </w:p>
        </w:tc>
      </w:tr>
      <w:tr>
        <w:trPr/>
        <w:tc>
          <w:tcPr>
            <w:tcW w:w="315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28, 2025</w:t>
            </w:r>
          </w:p>
        </w:tc>
        <w:tc>
          <w:tcPr>
            <w:tcW w:w="708"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3,738 </w:t>
            </w:r>
          </w:p>
        </w:tc>
        <w:tc>
          <w:tcPr>
            <w:tcW w:w="35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3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118.82 </w:t>
            </w:r>
          </w:p>
        </w:tc>
        <w:tc>
          <w:tcPr>
            <w:tcW w:w="178"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123.77 </w:t>
            </w:r>
          </w:p>
        </w:tc>
        <w:tc>
          <w:tcPr>
            <w:tcW w:w="25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Awarded</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0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w:t>
            </w:r>
          </w:p>
        </w:tc>
        <w:tc>
          <w:tcPr>
            <w:tcW w:w="3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116.58 </w:t>
            </w:r>
          </w:p>
        </w:tc>
        <w:tc>
          <w:tcPr>
            <w:tcW w:w="1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28, 2026</w:t>
            </w:r>
          </w:p>
        </w:tc>
        <w:tc>
          <w:tcPr>
            <w:tcW w:w="708"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3,845 </w:t>
            </w:r>
          </w:p>
        </w:tc>
        <w:tc>
          <w:tcPr>
            <w:tcW w:w="35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38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122.76 </w:t>
            </w:r>
          </w:p>
        </w:tc>
        <w:tc>
          <w:tcPr>
            <w:tcW w:w="1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144.70 </w:t>
            </w:r>
          </w:p>
        </w:tc>
        <w:tc>
          <w:tcPr>
            <w:tcW w:w="25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We issue PSU for which the number of shares issuable is based on our performance relative to specified operating margin targets (OM PSU) and PSU with a market condition that vest based on the Company’s relative total shareholder return as compared to a peer group of companies (rTSR PSU). In fiscal year 2026, we resumed issuing PSU for which the number of shares issuable is based on our performance relative to specified earnings per share targets (EPS PSU). For OM and EPS PSU, the number of units reflects the estimated number of shares to be issued at the end of the performance period. For rTSR PSU, the number of units reflects the estimated number of shares to be issued based on performance as of the current reporting period. Awarded units are presented net of performance adjustments.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Employee Stock Purchase Plan (ESPP)</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price at which common stock is purchased under the ESPP is equal to 85% of the fair market value of the common stock on the first day of the offering period or purchase date, whichever is lower. During YTD 2026, approximately 0.3 million shares were issued under the plan. As of June 28, 2026, approximately 11.5 million shares remained available for issuance under the ESPP.</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assumptions used and the resulting estimate of weighted-average fair value per share for stock purchased under the ESPP during YTD 2026 were as follows:</w:t>
      </w:r>
    </w:p>
    <w:tbl>
      <w:tblPr>
        <w:tblW w:w="5774" w:type="dxa"/>
        <w:jc w:val="left"/>
        <w:tblInd w:w="0" w:type="dxa"/>
        <w:tblLayout w:type="fixed"/>
        <w:tblCellMar>
          <w:top w:w="28" w:type="dxa"/>
          <w:left w:w="28" w:type="dxa"/>
          <w:bottom w:w="28" w:type="dxa"/>
          <w:right w:w="28" w:type="dxa"/>
        </w:tblCellMar>
      </w:tblPr>
      <w:tblGrid>
        <w:gridCol w:w="1569"/>
        <w:gridCol w:w="1380"/>
        <w:gridCol w:w="1386"/>
        <w:gridCol w:w="300"/>
        <w:gridCol w:w="920"/>
        <w:gridCol w:w="219"/>
      </w:tblGrid>
      <w:tr>
        <w:trPr/>
        <w:tc>
          <w:tcPr>
            <w:tcW w:w="15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43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3.54% - 4.06%</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43% - 48%</w:t>
            </w:r>
          </w:p>
        </w:tc>
      </w:tr>
      <w:tr>
        <w:trPr/>
        <w:tc>
          <w:tcPr>
            <w:tcW w:w="43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w:t>
            </w:r>
          </w:p>
        </w:tc>
        <w:tc>
          <w:tcPr>
            <w:tcW w:w="143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0.5 - 1.0 year</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w:t>
            </w:r>
          </w:p>
        </w:tc>
      </w:tr>
      <w:tr>
        <w:trPr/>
        <w:tc>
          <w:tcPr>
            <w:tcW w:w="43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grant-date fair value per share</w:t>
            </w:r>
          </w:p>
        </w:tc>
        <w:tc>
          <w:tcPr>
            <w:tcW w:w="300"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35.49 </w:t>
            </w:r>
          </w:p>
        </w:tc>
        <w:tc>
          <w:tcPr>
            <w:tcW w:w="21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Share-Based Compensation</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Share-based compensation expense reported in our consolidated statements of operations was as follows:</w:t>
      </w:r>
    </w:p>
    <w:tbl>
      <w:tblPr>
        <w:tblW w:w="8659" w:type="dxa"/>
        <w:jc w:val="left"/>
        <w:tblInd w:w="0" w:type="dxa"/>
        <w:tblLayout w:type="fixed"/>
        <w:tblCellMar>
          <w:top w:w="28" w:type="dxa"/>
          <w:left w:w="28" w:type="dxa"/>
          <w:bottom w:w="28" w:type="dxa"/>
          <w:right w:w="28" w:type="dxa"/>
        </w:tblCellMar>
      </w:tblPr>
      <w:tblGrid>
        <w:gridCol w:w="1625"/>
        <w:gridCol w:w="1424"/>
        <w:gridCol w:w="1435"/>
        <w:gridCol w:w="223"/>
        <w:gridCol w:w="397"/>
        <w:gridCol w:w="115"/>
        <w:gridCol w:w="109"/>
        <w:gridCol w:w="109"/>
        <w:gridCol w:w="109"/>
        <w:gridCol w:w="223"/>
        <w:gridCol w:w="397"/>
        <w:gridCol w:w="115"/>
        <w:gridCol w:w="109"/>
        <w:gridCol w:w="109"/>
        <w:gridCol w:w="109"/>
        <w:gridCol w:w="221"/>
        <w:gridCol w:w="505"/>
        <w:gridCol w:w="114"/>
        <w:gridCol w:w="109"/>
        <w:gridCol w:w="109"/>
        <w:gridCol w:w="109"/>
        <w:gridCol w:w="220"/>
        <w:gridCol w:w="503"/>
        <w:gridCol w:w="161"/>
      </w:tblGrid>
      <w:tr>
        <w:trPr/>
        <w:tc>
          <w:tcPr>
            <w:tcW w:w="162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YTD 2025</w:t>
            </w:r>
          </w:p>
        </w:tc>
      </w:tr>
      <w:tr>
        <w:trPr/>
        <w:tc>
          <w:tcPr>
            <w:tcW w:w="4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 and other revenue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6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 before taxes</w:t>
            </w:r>
          </w:p>
        </w:tc>
        <w:tc>
          <w:tcPr>
            <w:tcW w:w="62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w:t>
            </w:r>
            <w:r>
              <w:rPr>
                <w:color w:val="000000"/>
              </w:rPr>
              <w:t>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6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income tax benefits</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Share-based compensation expense, net of taxes</w:t>
            </w:r>
          </w:p>
        </w:tc>
        <w:tc>
          <w:tcPr>
            <w:tcW w:w="2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11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1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1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6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As of June 28, 2026, unrecognized compensation cost, related to restricted stock and ESPP shares issued to date, of $494 million is expected to be recognized over a weighted-average period of approximately 2.3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Share Repurchases</w:t>
      </w:r>
    </w:p>
    <w:p>
      <w:pPr>
        <w:pStyle w:val="TextBody"/>
        <w:bidi w:val="0"/>
        <w:spacing w:lineRule="auto" w:line="288" w:before="260" w:after="283"/>
        <w:jc w:val="left"/>
        <w:rPr/>
      </w:pPr>
      <w:r>
        <w:rPr>
          <w:rFonts w:ascii="Arial;sans-serif" w:hAnsi="Arial;sans-serif"/>
          <w:b w:val="false"/>
          <w:color w:val="000000"/>
          <w:sz w:val="20"/>
        </w:rPr>
        <w:t>In August 2024, our Board of Directors authorized a share repurchase program (the 2024 Repurchase Program), which canceled and superseded all prior and available repurchase authorizations, to repurchase up to $1.5 billion</w:t>
      </w:r>
      <w:r>
        <w:rPr>
          <w:color w:val="000000"/>
        </w:rPr>
        <w:t xml:space="preserve"> </w:t>
      </w:r>
      <w:r>
        <w:rPr>
          <w:rFonts w:ascii="Arial;sans-serif" w:hAnsi="Arial;sans-serif"/>
          <w:b w:val="false"/>
          <w:color w:val="000000"/>
          <w:sz w:val="20"/>
        </w:rPr>
        <w:t xml:space="preserve">of our outstanding common stock. In April 2026, our Board of Directors authorized a new share repurchase program (the 2026 Repurchase Program) to repurchase up to $1.5 billion of our outstanding common stock. The 2026 Repurchase Program is in addition to the $1.5 billion previously authorized under the 2024 Repurchase Program.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Repurchases under both programs may be completed through open market purchases, pursuant to Rule 10b5-1 or Rule 10b-18, or through an accelerated share repurchase program. No shares were repurchased under the 2026 Program in YTD 2026. As of June 28, 2026, authorizations to repurchase up to $279 million and $1.5 billion of our outstanding common stock remained available under the 2024 and 2026 Repurchase Programs, respectively.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Share repurchase activity was as follows:</w:t>
      </w:r>
    </w:p>
    <w:tbl>
      <w:tblPr>
        <w:tblW w:w="7517" w:type="dxa"/>
        <w:jc w:val="left"/>
        <w:tblInd w:w="0" w:type="dxa"/>
        <w:tblLayout w:type="fixed"/>
        <w:tblCellMar>
          <w:top w:w="28" w:type="dxa"/>
          <w:left w:w="28" w:type="dxa"/>
          <w:bottom w:w="28" w:type="dxa"/>
          <w:right w:w="28" w:type="dxa"/>
        </w:tblCellMar>
      </w:tblPr>
      <w:tblGrid>
        <w:gridCol w:w="1163"/>
        <w:gridCol w:w="1022"/>
        <w:gridCol w:w="1025"/>
        <w:gridCol w:w="211"/>
        <w:gridCol w:w="481"/>
        <w:gridCol w:w="109"/>
        <w:gridCol w:w="109"/>
        <w:gridCol w:w="109"/>
        <w:gridCol w:w="109"/>
        <w:gridCol w:w="211"/>
        <w:gridCol w:w="481"/>
        <w:gridCol w:w="109"/>
        <w:gridCol w:w="109"/>
        <w:gridCol w:w="109"/>
        <w:gridCol w:w="109"/>
        <w:gridCol w:w="221"/>
        <w:gridCol w:w="505"/>
        <w:gridCol w:w="114"/>
        <w:gridCol w:w="109"/>
        <w:gridCol w:w="109"/>
        <w:gridCol w:w="109"/>
        <w:gridCol w:w="220"/>
        <w:gridCol w:w="503"/>
        <w:gridCol w:w="161"/>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 except shares in thousands</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Number of shares repurchased</w:t>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2,947</w:t>
            </w:r>
            <w:r>
              <w:rPr>
                <w:color w:val="000000"/>
              </w:rPr>
              <w:t>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6,217 </w:t>
            </w:r>
          </w:p>
        </w:tc>
        <w:tc>
          <w:tcPr>
            <w:tcW w:w="16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Total cost of shares repurchased </w:t>
            </w:r>
            <w:r>
              <w:rPr>
                <w:rFonts w:ascii="Arial;sans-serif" w:hAnsi="Arial;sans-serif"/>
                <w:b w:val="false"/>
                <w:color w:val="000000"/>
                <w:sz w:val="13"/>
              </w:rPr>
              <w:t>(1)</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366</w:t>
            </w:r>
            <w:r>
              <w:rPr>
                <w:color w:val="000000"/>
              </w:rPr>
              <w:t>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Total cost of shares repurchased includes the 1% excise tax imposed as part of the Inflation Reduction Act of 2022, which is calculated based on share repurchases, net of certain share issuances, and was immaterial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09" w:type="dxa"/>
        <w:jc w:val="left"/>
        <w:tblInd w:w="0" w:type="dxa"/>
        <w:tblLayout w:type="fixed"/>
        <w:tblCellMar>
          <w:top w:w="28" w:type="dxa"/>
          <w:left w:w="28" w:type="dxa"/>
          <w:bottom w:w="28" w:type="dxa"/>
          <w:right w:w="28" w:type="dxa"/>
        </w:tblCellMar>
      </w:tblPr>
      <w:tblGrid>
        <w:gridCol w:w="2564"/>
        <w:gridCol w:w="2252"/>
        <w:gridCol w:w="3193"/>
      </w:tblGrid>
      <w:tr>
        <w:trPr/>
        <w:tc>
          <w:tcPr>
            <w:tcW w:w="256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r>
      <w:tr>
        <w:trPr/>
        <w:tc>
          <w:tcPr>
            <w:tcW w:w="8009"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7. SUPPLEMENTAL BALANCE SHEET AND STATEMENT OF OPERATIONS DETAILS</w:t>
            </w:r>
          </w:p>
        </w:tc>
      </w:tr>
    </w:tbl>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Accounts Receivable</w:t>
      </w:r>
    </w:p>
    <w:tbl>
      <w:tblPr>
        <w:tblW w:w="5358" w:type="dxa"/>
        <w:jc w:val="center"/>
        <w:tblInd w:w="0" w:type="dxa"/>
        <w:tblLayout w:type="fixed"/>
        <w:tblCellMar>
          <w:top w:w="28" w:type="dxa"/>
          <w:left w:w="28" w:type="dxa"/>
          <w:bottom w:w="28" w:type="dxa"/>
          <w:right w:w="28" w:type="dxa"/>
        </w:tblCellMar>
      </w:tblPr>
      <w:tblGrid>
        <w:gridCol w:w="1092"/>
        <w:gridCol w:w="956"/>
        <w:gridCol w:w="967"/>
        <w:gridCol w:w="211"/>
        <w:gridCol w:w="481"/>
        <w:gridCol w:w="109"/>
        <w:gridCol w:w="109"/>
        <w:gridCol w:w="109"/>
        <w:gridCol w:w="109"/>
        <w:gridCol w:w="302"/>
        <w:gridCol w:w="690"/>
        <w:gridCol w:w="223"/>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28,</w:t>
              <w:br/>
              <w:t>2025</w:t>
            </w:r>
          </w:p>
        </w:tc>
      </w:tr>
      <w:tr>
        <w:trPr/>
        <w:tc>
          <w:tcPr>
            <w:tcW w:w="30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gross</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773</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22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credit losses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accounts receivable, net</w:t>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764</w:t>
            </w:r>
            <w:r>
              <w:rPr>
                <w:color w:val="000000"/>
              </w:rPr>
              <w:t>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223"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Inventory</w:t>
      </w:r>
    </w:p>
    <w:tbl>
      <w:tblPr>
        <w:tblW w:w="6617" w:type="dxa"/>
        <w:jc w:val="left"/>
        <w:tblInd w:w="0" w:type="dxa"/>
        <w:tblLayout w:type="fixed"/>
        <w:tblCellMar>
          <w:top w:w="28" w:type="dxa"/>
          <w:left w:w="28" w:type="dxa"/>
          <w:bottom w:w="28" w:type="dxa"/>
          <w:right w:w="28" w:type="dxa"/>
        </w:tblCellMar>
      </w:tblPr>
      <w:tblGrid>
        <w:gridCol w:w="1546"/>
        <w:gridCol w:w="1351"/>
        <w:gridCol w:w="1377"/>
        <w:gridCol w:w="211"/>
        <w:gridCol w:w="481"/>
        <w:gridCol w:w="109"/>
        <w:gridCol w:w="109"/>
        <w:gridCol w:w="109"/>
        <w:gridCol w:w="109"/>
        <w:gridCol w:w="302"/>
        <w:gridCol w:w="690"/>
        <w:gridCol w:w="223"/>
      </w:tblGrid>
      <w:tr>
        <w:trPr/>
        <w:tc>
          <w:tcPr>
            <w:tcW w:w="15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28,</w:t>
              <w:br/>
              <w:t>2025</w:t>
            </w:r>
          </w:p>
        </w:tc>
      </w:tr>
      <w:tr>
        <w:trPr/>
        <w:tc>
          <w:tcPr>
            <w:tcW w:w="427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295</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2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gross</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reserve</w:t>
            </w:r>
          </w:p>
        </w:tc>
        <w:tc>
          <w:tcPr>
            <w:tcW w:w="6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(123)</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2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inventory, net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Inventory, current</w:t>
            </w:r>
          </w:p>
        </w:tc>
        <w:tc>
          <w:tcPr>
            <w:tcW w:w="211" w:type="dxa"/>
            <w:tcBorders>
              <w:top w:val="doub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doub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629</w:t>
            </w:r>
            <w:r>
              <w:rPr>
                <w:color w:val="000000"/>
              </w:rPr>
              <w:t> </w:t>
            </w:r>
          </w:p>
        </w:tc>
        <w:tc>
          <w:tcPr>
            <w:tcW w:w="109" w:type="dxa"/>
            <w:tcBorders>
              <w:top w:val="doub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doub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223" w:type="dxa"/>
            <w:tcBorders>
              <w:top w:val="doub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Inventory, non-current (included in other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Inventory with certain manufacturing processes that last more than one year is classified as long-term inventory. As of June 28, 2026, long-term inventory primarily consists of work in process that was acquired from SomaLogic.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Accrued Liabilities</w:t>
      </w:r>
    </w:p>
    <w:tbl>
      <w:tblPr>
        <w:tblW w:w="6783" w:type="dxa"/>
        <w:jc w:val="left"/>
        <w:tblInd w:w="0" w:type="dxa"/>
        <w:tblLayout w:type="fixed"/>
        <w:tblCellMar>
          <w:top w:w="28" w:type="dxa"/>
          <w:left w:w="28" w:type="dxa"/>
          <w:bottom w:w="28" w:type="dxa"/>
          <w:right w:w="28" w:type="dxa"/>
        </w:tblCellMar>
      </w:tblPr>
      <w:tblGrid>
        <w:gridCol w:w="1608"/>
        <w:gridCol w:w="1406"/>
        <w:gridCol w:w="1426"/>
        <w:gridCol w:w="211"/>
        <w:gridCol w:w="481"/>
        <w:gridCol w:w="109"/>
        <w:gridCol w:w="109"/>
        <w:gridCol w:w="109"/>
        <w:gridCol w:w="109"/>
        <w:gridCol w:w="302"/>
        <w:gridCol w:w="690"/>
        <w:gridCol w:w="223"/>
      </w:tblGrid>
      <w:tr>
        <w:trPr/>
        <w:tc>
          <w:tcPr>
            <w:tcW w:w="160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28,</w:t>
              <w:br/>
              <w:t>2025</w:t>
            </w:r>
          </w:p>
        </w:tc>
      </w:tr>
      <w:tr>
        <w:trPr/>
        <w:tc>
          <w:tcPr>
            <w:tcW w:w="44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 current portion</w:t>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Accrued compensation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 payable</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liabilities, current portion</w:t>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including warranties </w:t>
            </w:r>
            <w:r>
              <w:rPr>
                <w:rFonts w:ascii="Arial;sans-serif" w:hAnsi="Arial;sans-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848</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2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See table below for changes in the reserve for product warranties.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Changes in the reserve for product warranties were as follows:</w:t>
      </w:r>
    </w:p>
    <w:tbl>
      <w:tblPr>
        <w:tblW w:w="8194" w:type="dxa"/>
        <w:jc w:val="left"/>
        <w:tblInd w:w="0" w:type="dxa"/>
        <w:tblLayout w:type="fixed"/>
        <w:tblCellMar>
          <w:top w:w="28" w:type="dxa"/>
          <w:left w:w="28" w:type="dxa"/>
          <w:bottom w:w="28" w:type="dxa"/>
          <w:right w:w="28" w:type="dxa"/>
        </w:tblCellMar>
      </w:tblPr>
      <w:tblGrid>
        <w:gridCol w:w="1453"/>
        <w:gridCol w:w="1274"/>
        <w:gridCol w:w="1292"/>
        <w:gridCol w:w="223"/>
        <w:gridCol w:w="397"/>
        <w:gridCol w:w="115"/>
        <w:gridCol w:w="109"/>
        <w:gridCol w:w="109"/>
        <w:gridCol w:w="109"/>
        <w:gridCol w:w="223"/>
        <w:gridCol w:w="397"/>
        <w:gridCol w:w="115"/>
        <w:gridCol w:w="109"/>
        <w:gridCol w:w="109"/>
        <w:gridCol w:w="109"/>
        <w:gridCol w:w="254"/>
        <w:gridCol w:w="454"/>
        <w:gridCol w:w="131"/>
        <w:gridCol w:w="109"/>
        <w:gridCol w:w="109"/>
        <w:gridCol w:w="109"/>
        <w:gridCol w:w="252"/>
        <w:gridCol w:w="449"/>
        <w:gridCol w:w="184"/>
      </w:tblGrid>
      <w:tr>
        <w:trPr/>
        <w:tc>
          <w:tcPr>
            <w:tcW w:w="145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40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3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8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charged to cost of product revenue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Repairs and replacements</w:t>
            </w:r>
          </w:p>
        </w:tc>
        <w:tc>
          <w:tcPr>
            <w:tcW w:w="6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generally provide a one-year warranty on instruments. Additionally, we provide a warranty on consumables through the expiration date, which generally ranges from six to twelve months after the manufacture date. At the time revenue is recognized, an accrual is established for estimated warranty expenses based on historical experience as well as anticipated product performance. We periodically review the warranty reserve for adequacy and adjust the warranty accrual, if necessary, based on actual experience and estimated costs to be incurred. Warranty expense is recorded as a component of cost of product revenue.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Restructuring</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In 2023, we implemented a cost reduction initiative that included workforce reductions, consolidation of certain facilities, and other actions to reduce expenses as part of a plan to realign operating expenses while maintaining focus on our innovation roadmap and sustainable long-term growth. In Q1 2025, we implemented an incremental cost reduction initiative that included optimizing stock-based compensation and non-labor spending, as well as workforce reductions, to help mitigate the expected impact of a reduction in revenue and operating income from our Greater China business and the uncertainty in the U.S. government’s funding of the National Institutes of Health.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No pre-tax restructuring charges were recognized in Q2 2026 or YTD 2026. In Q2 2025 and YTD 2025, total pre-tax restructuring charges were $8 million and $39 million, respectively, related to employee separation costs. In Q2 2025, $4 million was attributed to research and development and $3 million to selling, general and administrative expense, with remainder recorded in cost of revenue. In YTD 2025, $22 million was allocated to selling, general and administrative expense and $14 million to research and development, with remainder recorded in cost of revenue.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Government Incentives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From time to time, we may qualify for or receive government incentives, under defined programs, from various governments, primarily to support our manufacturing, research and development and workforce training activities. The incentives, which vary in size, have terms of up to five years and are subject to compliance with specified conditions. If conditions are not satisfied, the incentives are subject to reduction, recapture or termination. The government incentives are subject to confidentiality provisions, where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We recognized benefits (reductions of expense) in our consolidated statements of operations as follows: </w:t>
      </w:r>
    </w:p>
    <w:tbl>
      <w:tblPr>
        <w:tblW w:w="7277" w:type="dxa"/>
        <w:jc w:val="left"/>
        <w:tblInd w:w="0" w:type="dxa"/>
        <w:tblLayout w:type="fixed"/>
        <w:tblCellMar>
          <w:top w:w="28" w:type="dxa"/>
          <w:left w:w="28" w:type="dxa"/>
          <w:bottom w:w="28" w:type="dxa"/>
          <w:right w:w="28" w:type="dxa"/>
        </w:tblCellMar>
      </w:tblPr>
      <w:tblGrid>
        <w:gridCol w:w="1125"/>
        <w:gridCol w:w="986"/>
        <w:gridCol w:w="994"/>
        <w:gridCol w:w="213"/>
        <w:gridCol w:w="411"/>
        <w:gridCol w:w="110"/>
        <w:gridCol w:w="109"/>
        <w:gridCol w:w="109"/>
        <w:gridCol w:w="109"/>
        <w:gridCol w:w="213"/>
        <w:gridCol w:w="411"/>
        <w:gridCol w:w="110"/>
        <w:gridCol w:w="109"/>
        <w:gridCol w:w="109"/>
        <w:gridCol w:w="109"/>
        <w:gridCol w:w="254"/>
        <w:gridCol w:w="454"/>
        <w:gridCol w:w="131"/>
        <w:gridCol w:w="109"/>
        <w:gridCol w:w="109"/>
        <w:gridCol w:w="109"/>
        <w:gridCol w:w="242"/>
        <w:gridCol w:w="466"/>
        <w:gridCol w:w="176"/>
      </w:tblGrid>
      <w:tr>
        <w:trPr/>
        <w:tc>
          <w:tcPr>
            <w:tcW w:w="11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3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3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6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benefits recognized</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pPr>
      <w:r>
        <w:rPr>
          <w:rFonts w:ascii="Arial;sans-serif" w:hAnsi="Arial;sans-serif"/>
          <w:b w:val="false"/>
          <w:color w:val="000000"/>
          <w:sz w:val="20"/>
        </w:rPr>
        <w:t>As of June 28, 2026 and December 28, 2025, grant receivables totaled $45 million</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$21 million, respectively, of which $18 million and $8 million, respectively, was included in prepaid expenses and other current assets, with the remaining balance included in other assets. </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Derivative Financial Instruments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are exposed to foreign exchange rate risks in the normal course of business and use derivative financial instruments to partially offset this exposure. We do not use derivative financial instruments for speculative or trading purposes. Foreign exchange contracts are carried at fair value in other current assets, other assets, accrued liabilities, or other long-term liabilities, as appropriate, on the condensed consolidated balance sheets. The cash flows associated with such foreign exchange contracts are classified as cash flows from operating activities in the condensed consolidated statements of cash flows, which is the same category as the hedged transaction.</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use foreign exchange forward contracts to manage foreign currency risks related to monetary assets and liabilities denominated in currencies other than the U.S. dollar. These derivative financial instruments have terms of one month or less and are not designated as hedging instruments. Changes in fair value are recognized in other income (expense), net, along with the remeasurement gain or loss on the foreign currency denominated assets or liabilities. As of June 28, 2026, we had foreign exchange forward contracts in place to hedge exposures in the euro, Japanese yen, Australian dollar, Canadian dollar, Singapore dollar, Chinese Yuan Renminbi, and British pound. As of June 28, 2026 and December 28, 2025, the total notional amounts of outstanding forward contracts in place for these foreign currency purchases were $415 million and $510 million, respectively.</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use foreign currency forward contracts to hedge portions of our foreign currency exposure associated with forecasted revenue transactions. These derivative financial instruments have terms up to 24 months and are designated as cash flow hedges. Changes in fair value are recognized as a component of accumulated other comprehensive income (loss) and are reclassified to revenue in the same period the underlying hedged transactions are recorded. We regularly review the effectiveness of our hedges and consider them to be ineffective if it becomes probable that the forecasted transactions will not occur in the identified period. Changes in fair value of the ineffective portions, if any, are recognized in other income (expense), net. As of June 28, 2026, we had foreign currency forward contracts in place to hedge exposures associated with forecasted revenue transactions denominated in the euro, Japanese yen, Australian dollar, Canadian dollar, and Chinese Yuan Renminbi. As of June 28, 2026 and December 28, 2025, the total notional amounts of outstanding cash flow hedge contracts in place for these foreign currency purchases were $723 million and $707 million, respectively. We recognized losses of $2 million and $6 million in revenue in Q2 2026 and YTD 2026, respectively. We recognized a loss of $2 million and a gain of $5 million in revenue in Q2 2025 and YTD 2025, respectively. As of June 28, 2026, the fair value of foreign currency forward contracts recognized in total assets and total liabilities was $14 million and $5 million, respectively. As of December 28, 2025, the fair value of foreign currency forward contracts recognized in total assets and total liabilities was $2 million and $17 million, respectively. As of June 28, 2026, a net gain of $6 million is expected to be reclassified from accumulated other comprehensive income (loss) in the next 12 months.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Indemnification Liability</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In connection with the GRAIL acquisition, we assumed a performance-based award for which vesting was based on GRAIL’s future revenues and had an aggregate potential value of up to $78 million. This award was assumed by GRAIL in connection with our divestiture in 2024. For a period of 2.5 years following the divestiture (through December 2026), we are obligated to indemnify GRAIL for cash payments that become earned and payable related to this award. The indemnification is accounted for in accordance with ASC 460. As of both June 28, 2026 and December 28, 2025, we recognized a non-contingent liability of $1 million related to this indemnification.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tbl>
      <w:tblPr>
        <w:tblW w:w="2609" w:type="dxa"/>
        <w:jc w:val="left"/>
        <w:tblInd w:w="0" w:type="dxa"/>
        <w:tblLayout w:type="fixed"/>
        <w:tblCellMar>
          <w:top w:w="28" w:type="dxa"/>
          <w:left w:w="28" w:type="dxa"/>
          <w:bottom w:w="28" w:type="dxa"/>
          <w:right w:w="28" w:type="dxa"/>
        </w:tblCellMar>
      </w:tblPr>
      <w:tblGrid>
        <w:gridCol w:w="835"/>
        <w:gridCol w:w="734"/>
        <w:gridCol w:w="1040"/>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 xml:space="preserve">8. LEGAL PROCEEDINGS </w:t>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are involved in various lawsuits and claims arising in the ordinary course of business, including actions with respect to intellectual property, employment, and contractual matters. In connection with these matters, we assess, on a regular basis, the probability and range of possible loss based on the developments in these matters. A liability is recorded in the condensed consolidated financial statements if it is believed to be probable that a loss has been incurred and the amount of the loss can be reasonably estimated. Because litigation is inherently unpredictable and unfavorable resolutions could occur, assessing contingencies is highly subjective and requires judgments about future events. We regularly review outstanding legal matters to determine the adequacy of the liabilities accrued and related disclosures in consideration of many factors, which include, but are not limited to, past history, scientific and other evidence, and the specifics and status of each matter. We may change our estimates if our assessment of the various factors changes and the amount of ultimate loss may differ from our estimates, resulting in a material effect on our business, financial condition, results of operations, and/or cash flows.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Shareholder Derivative Complaints</w:t>
      </w:r>
    </w:p>
    <w:p>
      <w:pPr>
        <w:pStyle w:val="TextBody"/>
        <w:bidi w:val="0"/>
        <w:spacing w:lineRule="auto" w:line="288" w:before="260" w:after="283"/>
        <w:jc w:val="left"/>
        <w:rPr/>
      </w:pPr>
      <w:r>
        <w:rPr>
          <w:rFonts w:ascii="Arial;sans-serif" w:hAnsi="Arial;sans-serif"/>
          <w:b w:val="false"/>
          <w:color w:val="000000"/>
          <w:sz w:val="20"/>
        </w:rPr>
        <w:t xml:space="preserve">On October 17, 2023, a stockholder derivative and class action complaint captioned </w:t>
      </w:r>
      <w:r>
        <w:rPr>
          <w:rFonts w:ascii="Arial;sans-serif" w:hAnsi="Arial;sans-serif"/>
          <w:b w:val="false"/>
          <w:i/>
          <w:color w:val="000000"/>
          <w:sz w:val="20"/>
        </w:rPr>
        <w:t>Icahn Partners LP, et al. v. deSouza, et al.</w:t>
      </w:r>
      <w:r>
        <w:rPr>
          <w:rFonts w:ascii="Arial;sans-serif" w:hAnsi="Arial;sans-serif"/>
          <w:b w:val="false"/>
          <w:color w:val="000000"/>
          <w:sz w:val="20"/>
        </w:rPr>
        <w:t xml:space="preserve">, purportedly brought on behalf of Illumina and public holders of Illumina’s common stock, was filed in the Delaware Court of Chancery against certain current and former directors (including our former Chief Executive Officer). We are named as a nominal defendant in the complaint. The lawsuit alleges the named directors breached their fiduciary duties by knowingly causing Illumina to unlawfully close the GRAIL acquisition, concealing material facts related to the GRAIL acquisition and making inadequate disclosures. Before the filing of the complaint, the purported stockholders did not make a demand that our Board of Directors pursue the claims asserted therein. The complaint seeks damages, costs and expenses, including attorneys’ fees, the certification and consolidation of a putative class, the issuance of amended disclosures, the removal of conflicted directors and declaratory and other equitable relief. On November 1, 2023, the defendants filed a motion to dismiss the complaint. </w:t>
      </w:r>
    </w:p>
    <w:p>
      <w:pPr>
        <w:pStyle w:val="TextBody"/>
        <w:bidi w:val="0"/>
        <w:spacing w:lineRule="auto" w:line="288" w:before="260" w:after="283"/>
        <w:jc w:val="left"/>
        <w:rPr/>
      </w:pPr>
      <w:r>
        <w:rPr>
          <w:rFonts w:ascii="Arial;sans-serif" w:hAnsi="Arial;sans-serif"/>
          <w:b w:val="false"/>
          <w:color w:val="000000"/>
          <w:sz w:val="20"/>
        </w:rPr>
        <w:t xml:space="preserve">On February 26, 2024, a stockholder derivative complaint captioned </w:t>
      </w:r>
      <w:r>
        <w:rPr>
          <w:rFonts w:ascii="Arial;sans-serif" w:hAnsi="Arial;sans-serif"/>
          <w:b w:val="false"/>
          <w:i/>
          <w:color w:val="000000"/>
          <w:sz w:val="20"/>
        </w:rPr>
        <w:t>City of Omaha Police and Firefighters Retirement System v. deSouza, et al.</w:t>
      </w:r>
      <w:r>
        <w:rPr>
          <w:rFonts w:ascii="Arial;sans-serif" w:hAnsi="Arial;sans-serif"/>
          <w:b w:val="false"/>
          <w:color w:val="000000"/>
          <w:sz w:val="20"/>
        </w:rPr>
        <w:t xml:space="preserve">, purportedly brought on behalf of Illumina, was filed in the Delaware Court of Chancery against certain current and former directors. On April 16, 2024, a stockholder derivative complaint captioned </w:t>
      </w:r>
      <w:r>
        <w:rPr>
          <w:rFonts w:ascii="Arial;sans-serif" w:hAnsi="Arial;sans-serif"/>
          <w:b w:val="false"/>
          <w:i/>
          <w:color w:val="000000"/>
          <w:sz w:val="20"/>
        </w:rPr>
        <w:t>City of Roseville General Employees Retirement System, et al. v. deSouza, et al.</w:t>
      </w:r>
      <w:r>
        <w:rPr>
          <w:rFonts w:ascii="Arial;sans-serif" w:hAnsi="Arial;sans-serif"/>
          <w:b w:val="false"/>
          <w:color w:val="000000"/>
          <w:sz w:val="20"/>
        </w:rPr>
        <w:t>, purportedly brought on behalf of Illumina, was filed in the Delaware Court of Chancery against certain current and former directors and officers. On March 26, 2024, the defendants filed a motion to dismiss the complaint in the lawsuit filed by City of Omaha Police and Firefighters Retirement System. On May 16, 2024, the defendants filed a motion to dismiss the complaint in the lawsuit filed by City of Roseville General Employees Retirement System, et al.</w:t>
      </w:r>
    </w:p>
    <w:p>
      <w:pPr>
        <w:pStyle w:val="TextBody"/>
        <w:bidi w:val="0"/>
        <w:spacing w:lineRule="auto" w:line="288" w:before="260" w:after="283"/>
        <w:jc w:val="left"/>
        <w:rPr/>
      </w:pPr>
      <w:r>
        <w:rPr>
          <w:rFonts w:ascii="Arial;sans-serif" w:hAnsi="Arial;sans-serif"/>
          <w:b w:val="false"/>
          <w:color w:val="000000"/>
          <w:sz w:val="20"/>
        </w:rPr>
        <w:t xml:space="preserve">On December 23, 2024, a stockholder derivative complaint captioned </w:t>
      </w:r>
      <w:r>
        <w:rPr>
          <w:rFonts w:ascii="Arial;sans-serif" w:hAnsi="Arial;sans-serif"/>
          <w:b w:val="false"/>
          <w:i/>
          <w:color w:val="000000"/>
          <w:sz w:val="20"/>
        </w:rPr>
        <w:t>The Pavers and Road Builders Benefit Funds v. deSouza, et al.</w:t>
      </w:r>
      <w:r>
        <w:rPr>
          <w:rFonts w:ascii="Arial;sans-serif" w:hAnsi="Arial;sans-serif"/>
          <w:b w:val="false"/>
          <w:color w:val="000000"/>
          <w:sz w:val="20"/>
        </w:rPr>
        <w:t>, purportedly brought on behalf of Illumina, was filed in the Delaware Court of Chancery against certain current and former directors and officers. Like the complaints described above, the lawsuits allege the named directors and officers breached their fiduciary duties by knowingly causing Illumina to unlawfully close the GRAIL acquisition. Before the filing of the complaint, the purported stockholder did not make a demand that our Board of Directors pursue the claim asserted therein. The complaint seeks damages against the individual defendants and other equitable relief. On January 21, 2025, the defendants filed a motion to dismiss the complaint in the lawsuit filed by The Pavers and Road Builders Benefit Funds.</w:t>
      </w:r>
    </w:p>
    <w:p>
      <w:pPr>
        <w:pStyle w:val="TextBody"/>
        <w:bidi w:val="0"/>
        <w:spacing w:lineRule="auto" w:line="288" w:before="260" w:after="283"/>
        <w:jc w:val="left"/>
        <w:rPr/>
      </w:pPr>
      <w:r>
        <w:rPr>
          <w:rFonts w:ascii="Arial;sans-serif" w:hAnsi="Arial;sans-serif"/>
          <w:b w:val="false"/>
          <w:color w:val="000000"/>
          <w:sz w:val="20"/>
        </w:rPr>
        <w:t xml:space="preserve">On March 27, 2025, the parties in the </w:t>
      </w:r>
      <w:r>
        <w:rPr>
          <w:rFonts w:ascii="Arial;sans-serif" w:hAnsi="Arial;sans-serif"/>
          <w:b w:val="false"/>
          <w:i/>
          <w:color w:val="000000"/>
          <w:sz w:val="20"/>
        </w:rPr>
        <w:t>Icahn Partners LP, et al. v. deSouza, et al., City of Omaha Police and Firefighters Retirement System v. deSouza, et al., City of Roseville General Employees Retirement System, et al. v. deSouza, et al. and The Pavers and Road Builders Benefit Funds v. deSouza, et al.</w:t>
      </w:r>
      <w:r>
        <w:rPr>
          <w:color w:val="000000"/>
        </w:rPr>
        <w:t xml:space="preserve"> </w:t>
      </w:r>
      <w:r>
        <w:rPr>
          <w:rFonts w:ascii="Arial;sans-serif" w:hAnsi="Arial;sans-serif"/>
          <w:b w:val="false"/>
          <w:color w:val="000000"/>
          <w:sz w:val="20"/>
        </w:rPr>
        <w:t xml:space="preserve">Delaware shareholder derivative actions filed a stipulation to consolidate those actions. On April 11, 2025, the parties to the </w:t>
      </w:r>
      <w:r>
        <w:rPr>
          <w:rFonts w:ascii="Arial;sans-serif" w:hAnsi="Arial;sans-serif"/>
          <w:b w:val="false"/>
          <w:i/>
          <w:color w:val="000000"/>
          <w:sz w:val="20"/>
        </w:rPr>
        <w:t>Icahn Partners LP, et al. v. deSouza, et al.</w:t>
      </w:r>
      <w:r>
        <w:rPr>
          <w:color w:val="000000"/>
        </w:rPr>
        <w:t xml:space="preserve"> </w:t>
      </w:r>
      <w:r>
        <w:rPr>
          <w:rFonts w:ascii="Arial;sans-serif" w:hAnsi="Arial;sans-serif"/>
          <w:b w:val="false"/>
          <w:color w:val="000000"/>
          <w:sz w:val="20"/>
        </w:rPr>
        <w:t xml:space="preserve">action informed the court that they had agreed to a settlement in principle of that action involving a release of claims and no payment by any party. On April 17, 2025, the court held a teleconference on the consolidated action, during which it directed the parties to (i) refile the consolidation stipulation once the </w:t>
      </w:r>
      <w:r>
        <w:rPr>
          <w:rFonts w:ascii="Arial;sans-serif" w:hAnsi="Arial;sans-serif"/>
          <w:b w:val="false"/>
          <w:i/>
          <w:color w:val="000000"/>
          <w:sz w:val="20"/>
        </w:rPr>
        <w:t>Icahn Partners LP, et al. v. deSouza, et al.</w:t>
      </w:r>
      <w:r>
        <w:rPr>
          <w:color w:val="000000"/>
        </w:rPr>
        <w:t xml:space="preserve"> </w:t>
      </w:r>
      <w:r>
        <w:rPr>
          <w:rFonts w:ascii="Arial;sans-serif" w:hAnsi="Arial;sans-serif"/>
          <w:b w:val="false"/>
          <w:color w:val="000000"/>
          <w:sz w:val="20"/>
        </w:rPr>
        <w:t xml:space="preserve">settlement was finalized and (ii) proceed with the briefing on the motion to dismiss the operative complaint in the consolidated action, which is the complaint filed in </w:t>
      </w:r>
      <w:r>
        <w:rPr>
          <w:rFonts w:ascii="Arial;sans-serif" w:hAnsi="Arial;sans-serif"/>
          <w:b w:val="false"/>
          <w:i/>
          <w:color w:val="000000"/>
          <w:sz w:val="20"/>
        </w:rPr>
        <w:t>The Pavers and Road Builders Benefit Funds v. deSouza, et al</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pPr>
      <w:r>
        <w:rPr>
          <w:rFonts w:ascii="Arial;sans-serif" w:hAnsi="Arial;sans-serif"/>
          <w:b w:val="false"/>
          <w:color w:val="000000"/>
          <w:sz w:val="20"/>
        </w:rPr>
        <w:t xml:space="preserve">On June 2, 2025, (i) Alex Aravanis filed his opening brief in support of his motion to dismiss, (ii) Francis deSouza, John W. Thompson, Frances Arnold, Caroline Dorsa, Robert Epstein, Scott Gottlieb, Gary Guthart, Philip Schiller and Susan Siegel (Director Defendants) filed their opening brief in support of their motion to dismiss and (iii) Illumina filed a joinder to the Director Defendants’ motion. On July 17, 2025, the court granted a stipulation filed by the parties giving plaintiffs until August 8, 2025, to file an amended complaint. On August 8, 2025, plaintiffs filed an amended complaint and a stipulation to dismiss without prejudice all claims against Alex Aravanis, and the court granted the stipulation the same day. In a settlement agreement dated August 21, 2025, the parties in </w:t>
      </w:r>
      <w:r>
        <w:rPr>
          <w:rFonts w:ascii="Arial;sans-serif" w:hAnsi="Arial;sans-serif"/>
          <w:b w:val="false"/>
          <w:i/>
          <w:color w:val="000000"/>
          <w:sz w:val="20"/>
        </w:rPr>
        <w:t>Icahn Partners LP, et al. v. deSouza, et al.</w:t>
      </w:r>
      <w:r>
        <w:rPr>
          <w:color w:val="000000"/>
        </w:rPr>
        <w:t xml:space="preserve"> </w:t>
      </w:r>
      <w:r>
        <w:rPr>
          <w:rFonts w:ascii="Arial;sans-serif" w:hAnsi="Arial;sans-serif"/>
          <w:b w:val="false"/>
          <w:color w:val="000000"/>
          <w:sz w:val="20"/>
        </w:rPr>
        <w:t xml:space="preserve">agreed that the matter would be dismissed with a full release of claims and no payment by any party. On September 19, 2025, the parties in </w:t>
      </w:r>
      <w:r>
        <w:rPr>
          <w:rFonts w:ascii="Arial;sans-serif" w:hAnsi="Arial;sans-serif"/>
          <w:b w:val="false"/>
          <w:i/>
          <w:color w:val="000000"/>
          <w:sz w:val="20"/>
        </w:rPr>
        <w:t>Icahn Partners LP, et al. v. deSouza, et al.</w:t>
      </w:r>
      <w:r>
        <w:rPr>
          <w:color w:val="000000"/>
        </w:rPr>
        <w:t xml:space="preserve"> </w:t>
      </w:r>
      <w:r>
        <w:rPr>
          <w:rFonts w:ascii="Arial;sans-serif" w:hAnsi="Arial;sans-serif"/>
          <w:b w:val="false"/>
          <w:color w:val="000000"/>
          <w:sz w:val="20"/>
        </w:rPr>
        <w:t xml:space="preserve">filed a stipulation and proposed order of dismissal in that case. On November 3, 2025, the court held a teleconference with the parties in the </w:t>
      </w:r>
      <w:r>
        <w:rPr>
          <w:rFonts w:ascii="Arial;sans-serif" w:hAnsi="Arial;sans-serif"/>
          <w:b w:val="false"/>
          <w:i/>
          <w:color w:val="000000"/>
          <w:sz w:val="20"/>
        </w:rPr>
        <w:t>Icahn Partners LP, et al. v. deSouza, et al., City of Omaha Police and Firefighters Retirement System v. deSouza, et al., City of Roseville General Employees Retirement System, et al. v. deSouza, et al.</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The Pavers and Road Builders Benefit Funds v. deSouza, et al.</w:t>
      </w:r>
      <w:r>
        <w:rPr>
          <w:color w:val="000000"/>
        </w:rPr>
        <w:t xml:space="preserve"> </w:t>
      </w:r>
      <w:r>
        <w:rPr>
          <w:rFonts w:ascii="Arial;sans-serif" w:hAnsi="Arial;sans-serif"/>
          <w:b w:val="false"/>
          <w:color w:val="000000"/>
          <w:sz w:val="20"/>
        </w:rPr>
        <w:t xml:space="preserve">actions and asked them to submit supplemental authority in support of dismissal of the </w:t>
      </w:r>
      <w:r>
        <w:rPr>
          <w:rFonts w:ascii="Arial;sans-serif" w:hAnsi="Arial;sans-serif"/>
          <w:b w:val="false"/>
          <w:i/>
          <w:color w:val="000000"/>
          <w:sz w:val="20"/>
        </w:rPr>
        <w:t>Icahn Partners LP, et al. v. deSouza, et al.</w:t>
      </w:r>
      <w:r>
        <w:rPr>
          <w:color w:val="000000"/>
        </w:rPr>
        <w:t xml:space="preserve"> </w:t>
      </w:r>
      <w:r>
        <w:rPr>
          <w:rFonts w:ascii="Arial;sans-serif" w:hAnsi="Arial;sans-serif"/>
          <w:b w:val="false"/>
          <w:color w:val="000000"/>
          <w:sz w:val="20"/>
        </w:rPr>
        <w:t>action. The parties filed a notice of supplemental authority in support of dismissal on December 2, 2025. On February 20, 2026, the court ordered that notice of the proposed settlement be given to stockholders before dismissal. On April 22, 2026, the parties filed a proposed scheduling order and notice for a hearing on the dismissal. On April 28, 2026, the court denied the proposed scheduling order on procedural grounds and directed the parties to submit a revised proposed order conforming to Court of Chancery Rules 23(f)(3)(D)(iv) and 23.1(d)(3)(D)(iii) by providing a summary of the claims, issues, defenses, and relief sought in the Icahn action. On June 18, 2026, the parties filed a revised proposed scheduling order, notice and stipulation and proposed order of dismissal.</w:t>
      </w:r>
    </w:p>
    <w:p>
      <w:pPr>
        <w:pStyle w:val="TextBody"/>
        <w:bidi w:val="0"/>
        <w:spacing w:lineRule="auto" w:line="288" w:before="260" w:after="283"/>
        <w:jc w:val="left"/>
        <w:rPr/>
      </w:pPr>
      <w:r>
        <w:rPr>
          <w:rFonts w:ascii="Arial;sans-serif" w:hAnsi="Arial;sans-serif"/>
          <w:b w:val="false"/>
          <w:color w:val="000000"/>
          <w:sz w:val="20"/>
        </w:rPr>
        <w:t xml:space="preserve">On October 3, 2025, the Director Defendants filed their opening brief in support of defendants’ motion to dismiss the amended complaint filed in the consolidated </w:t>
      </w:r>
      <w:r>
        <w:rPr>
          <w:rFonts w:ascii="Arial;sans-serif" w:hAnsi="Arial;sans-serif"/>
          <w:b w:val="false"/>
          <w:i/>
          <w:color w:val="000000"/>
          <w:sz w:val="20"/>
        </w:rPr>
        <w:t>Pavers</w:t>
      </w:r>
      <w:r>
        <w:rPr>
          <w:color w:val="000000"/>
        </w:rPr>
        <w:t xml:space="preserve"> </w:t>
      </w:r>
      <w:r>
        <w:rPr>
          <w:rFonts w:ascii="Arial;sans-serif" w:hAnsi="Arial;sans-serif"/>
          <w:b w:val="false"/>
          <w:color w:val="000000"/>
          <w:sz w:val="20"/>
        </w:rPr>
        <w:t>action. Illumina filed a joinder to the opening brief. Plaintiffs filed their answering brief on November 20, 2025, and the Director Defendants filed their reply brief on December 19, 2025. Illumina filed a joinder to the reply brief. A hearing on the motion to dismiss was held on February 13, 2026.</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light of the fact that these lawsuits are in an early stage, we cannot predict the ultimate outcome of the suits. We deny the allegations in the complaints and intend to vigorously defend against the litigation matters.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On May 1, 2024, stockholder Michael Warner sent a litigation demand to our Board of Directors requesting that a civil action for monetary damages be brought by the Board of Directors on behalf of Illumina against officers and directors involved with the GRAIL acquisition. On July 30, 2024, the Board unanimously determined that it was in the best interest of the Company and its shareholders to defer a final decision on the demand given, among other things, the pending stockholder lawsuits described herein and the similarity of issues raised in the demand and those lawsuits. By letter dated October 13, 2025, Mr. Warner requested that the Board reconsider his demand in light of developments in the various shareholder cases related to the acquisition of GRAIL. On February 4, 2026, the Board unanimously determined that it was in the best interest of the Company and its shareholders to continue to defer a final decision on the demand. Our Board will monitor the stockholder lawsuits and revisit the demand as warranted as the lawsuits progress.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On August 21, 2024, an additional stockholder, Jane Davidson, sent a litigation demand to our Board of Directors requesting that a civil action for breaches of fiduciary duty, indemnification, contribution and other appropriate claims be brought by the Board of Directors on behalf of Illumina against officers and directors involved with the GRAIL acquisition. On October 29, 2024, the Board unanimously determined that it was in the best interest of the Company and its shareholders to defer a final decision on the demand given, among other things, the pending stockholder lawsuits described herein and the similarity of issues raised in the demand and those lawsuits. Our Board will monitor the stockholder lawsuits and revisit the demand as warranted as the lawsuits progress.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Securities Class Actions</w:t>
      </w:r>
    </w:p>
    <w:p>
      <w:pPr>
        <w:pStyle w:val="TextBody"/>
        <w:bidi w:val="0"/>
        <w:spacing w:lineRule="auto" w:line="288" w:before="260" w:after="283"/>
        <w:jc w:val="left"/>
        <w:rPr/>
      </w:pPr>
      <w:r>
        <w:rPr>
          <w:rFonts w:ascii="Arial;sans-serif" w:hAnsi="Arial;sans-serif"/>
          <w:b w:val="false"/>
          <w:i/>
          <w:color w:val="000000"/>
          <w:sz w:val="20"/>
        </w:rPr>
        <w:t xml:space="preserve">Federal Securities Class Actions. </w:t>
      </w:r>
      <w:r>
        <w:rPr>
          <w:rFonts w:ascii="Arial;sans-serif" w:hAnsi="Arial;sans-serif"/>
          <w:b w:val="false"/>
          <w:color w:val="000000"/>
          <w:sz w:val="20"/>
        </w:rPr>
        <w:t xml:space="preserve">On November 11, 2023, the first of three securities class action complaints was filed against Illumina and certain of its current and former executive officers in the United States District Court for the Southern District of California. The first-filed case is captioned </w:t>
      </w:r>
      <w:r>
        <w:rPr>
          <w:rFonts w:ascii="Arial;sans-serif" w:hAnsi="Arial;sans-serif"/>
          <w:b w:val="false"/>
          <w:i/>
          <w:color w:val="000000"/>
          <w:sz w:val="20"/>
        </w:rPr>
        <w:t>Kangas v. Illumina, Inc. et al</w:t>
      </w:r>
      <w:r>
        <w:rPr>
          <w:rFonts w:ascii="Arial;sans-serif" w:hAnsi="Arial;sans-serif"/>
          <w:b w:val="false"/>
          <w:color w:val="000000"/>
          <w:sz w:val="20"/>
        </w:rPr>
        <w:t>., the second-filed case is captioned</w:t>
      </w:r>
      <w:r>
        <w:rPr>
          <w:color w:val="000000"/>
        </w:rPr>
        <w:t xml:space="preserve"> </w:t>
      </w:r>
      <w:r>
        <w:rPr>
          <w:rFonts w:ascii="Arial;sans-serif" w:hAnsi="Arial;sans-serif"/>
          <w:b w:val="false"/>
          <w:i/>
          <w:color w:val="000000"/>
          <w:sz w:val="20"/>
        </w:rPr>
        <w:t>Roy v. Illumina, Inc. et al.,</w:t>
      </w:r>
      <w:r>
        <w:rPr>
          <w:color w:val="000000"/>
        </w:rPr>
        <w:t xml:space="preserve"> </w:t>
      </w:r>
      <w:r>
        <w:rPr>
          <w:rFonts w:ascii="Arial;sans-serif" w:hAnsi="Arial;sans-serif"/>
          <w:b w:val="false"/>
          <w:color w:val="000000"/>
          <w:sz w:val="20"/>
        </w:rPr>
        <w:t xml:space="preserve">and the third-filed case is captioned </w:t>
      </w:r>
      <w:r>
        <w:rPr>
          <w:rFonts w:ascii="Arial;sans-serif" w:hAnsi="Arial;sans-serif"/>
          <w:b w:val="false"/>
          <w:i/>
          <w:color w:val="000000"/>
          <w:sz w:val="20"/>
        </w:rPr>
        <w:t>Louisiana Sheriffs’ Pension &amp; Relief Fund v. Illumina, Inc. et al.</w:t>
      </w:r>
      <w:r>
        <w:rPr>
          <w:color w:val="000000"/>
        </w:rPr>
        <w:t xml:space="preserve"> </w:t>
      </w:r>
      <w:r>
        <w:rPr>
          <w:rFonts w:ascii="Arial;sans-serif" w:hAnsi="Arial;sans-serif"/>
          <w:b w:val="false"/>
          <w:color w:val="000000"/>
          <w:sz w:val="20"/>
        </w:rPr>
        <w:t>(collectively, the Actions). The complaints generally allege, among other things, that defendants made materially false and misleading statements and omitted material facts relating to Illumina’s acquisition of GRAIL. The complaints seek unspecified damages, interest, fees, and costs. On January 9, 2024, four movants filed motions to consolidate the Actions and to appoint a lead plaintiff (Lead Plaintiff Motions). On April 11, 2024, the Court issued an order consolidating the Actions into a single action (captioned in re Illumina, Inc. Securities Litigation No. 23-cv-2082-LL-MMP), and appointed Universal-Investment-Gesellschaft mbH, UI BVK Kapitalverwaltungsgesellschaft mbH, and ACATIS Investment Kapitalverwaltungsgesellschaft mbH as lead plaintiffs (the Lead Plaintiffs). On June 21, 2024, the Lead Plaintiffs filed their consolidated amended complaint. The complaint alleges that Illumina and GRAIL and certain of their current and former directors and officers violated Sections 10(b) and 20(a) of the Securities Exchange Act and SEC Rule 10b-5 in connection with Illumina’s acquisition of GRAIL. On September 13, 2024, the Lead Plaintiffs filed a second amended consolidated complaint. On November 12, 2024, the Company and other defendants filed a motion to dismiss the second amended consolidated complaint. On December 20, 2024, the Lead Plaintiffs filed their opposition to the motion to dismiss. The defendants’ final reply brief was filed on February 3, 2025. On September 26, 2025, the Court granted the defendants’ motion to dismiss for failure to state a claim, but granted plaintiffs leave to file an amended complaint by October 27, 2025. On October 27, 2025, the Plaintiffs filed a Third Amended Complaint. On December 11, 2025, the Company filed a motion to dismiss the Third Amended Complaint. On February 4, 2026, the Plaintiffs filed their opposition to the motion to dismiss. The Company filed its reply on March 6, 2026. No hearing date has been set.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State Securities Class Actions</w:t>
      </w:r>
      <w:r>
        <w:rPr>
          <w:rFonts w:ascii="Arial;sans-serif" w:hAnsi="Arial;sans-serif"/>
          <w:b w:val="false"/>
          <w:color w:val="000000"/>
          <w:sz w:val="20"/>
        </w:rPr>
        <w:t xml:space="preserve">. On February 2, 2024, the first of two additional securities class actions was filed against Illumina, certain of its officers and directors, and several other individuals and entities in the Superior Court of the State of California, County of San Mateo, captioned </w:t>
      </w:r>
      <w:r>
        <w:rPr>
          <w:rFonts w:ascii="Arial;sans-serif" w:hAnsi="Arial;sans-serif"/>
          <w:b w:val="false"/>
          <w:i/>
          <w:color w:val="000000"/>
          <w:sz w:val="20"/>
        </w:rPr>
        <w:t>Loren Scott Mar v. Illumina, et al. and Scott Zerzanek v. Illumina, Inc. et al</w:t>
      </w:r>
      <w:r>
        <w:rPr>
          <w:rFonts w:ascii="Arial;sans-serif" w:hAnsi="Arial;sans-serif"/>
          <w:b w:val="false"/>
          <w:color w:val="000000"/>
          <w:sz w:val="20"/>
        </w:rPr>
        <w:t>. Both complaints generally allege, among other things, that defendants made materially false and misleading statements and omitted material facts in the November 2020 and February 2021 registration statements and prospectus relating to Illumina’s acquisition of GRAIL. The complaints seek unspecified damages, interest, fees, and costs. On March 29, 2024, the parties to the actions filed a Joint Stipulation to Consolidate the actions and to appoint co-lead counsel for plaintiffs, which the Court granted on April 5, 2024. On August 12, 2024, the Plaintiffs filed their consolidated complaint. On February 28, 2025, the defendants filed demurrers seeking dismissal of the litigation. On April 30, 2025, Plaintiffs filed their oppositions to the demurrers. On September 3, 2025, the Court overruled Illumina’s demurrer. On September 16, 2025, Illumina filed its answer to the consolidated complaint denying the allegations. On October 28, 2025, the Company filed a writ with the California Court of Appeals seeking interlocutory appellate review of the Court’s order overruling Illumina’s demurrer. On October 31, 2025, the Court of Appeals denied the writ. On January 26, 2026, the Plaintiffs filed a motion for class certification, and the Company opposed. On May 15, 2026, the Court granted the motion to certify the class. On July 28, 2026, the Company filed a writ with the California Court of Appeals seeking interlocutory appellate review of the court’s order granting class certification.</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On March 27, 2026, the Company filed a motion for judgment on the pleadings. On June 26, 2026, the court denied the motion. On June 18, 2026, the Company filed a motion for leave to amend its answer to include additional affirmative defenses. A hearing on the motion is scheduled for October 30, 2026.</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light of the fact that the lawsuits are in an early stage, we cannot predict the ultimate outcome of the suits. We deny the allegations in the complaints and intend to vigorously defend the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89" w:type="dxa"/>
        <w:jc w:val="left"/>
        <w:tblInd w:w="0" w:type="dxa"/>
        <w:tblLayout w:type="fixed"/>
        <w:tblCellMar>
          <w:top w:w="28" w:type="dxa"/>
          <w:left w:w="28" w:type="dxa"/>
          <w:bottom w:w="28" w:type="dxa"/>
          <w:right w:w="28" w:type="dxa"/>
        </w:tblCellMar>
      </w:tblPr>
      <w:tblGrid>
        <w:gridCol w:w="605"/>
        <w:gridCol w:w="531"/>
        <w:gridCol w:w="753"/>
      </w:tblGrid>
      <w:tr>
        <w:trPr/>
        <w:tc>
          <w:tcPr>
            <w:tcW w:w="6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9. INCOME TAXES</w:t>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Our effective tax rate may vary from the U.S. federal statutory tax rate due to the change in the mix of earnings in tax jurisdictions with different statutory rates, benefits related to tax credits, and the tax impact of non-deductible expenses and other permanent differences between income (loss) before income taxes and taxable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Our effective tax rates for Q2 2026 and YTD 2026 were 20.5% and 18.4%, respectively, compared to 23.4% and 25.1% in Q2 2025 and YTD 2025, respectively. The variance from the U.S. federal statutory tax rate of 21% in YTD 2026 was primarily due to prior year tax return adjustments. The tax rate in Q2 2026 and YTD 2026 was favorably impacted by the mix of earnings in jurisdictions with lower statutory tax rates than the U.S. federal statutory tax rate, such as in Singapore.</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As of both June 28, 2026 and December 28, 2025, prepaid income taxes, included within prepaid expenses and other current assets on the condensed consolidated balance sheets, were $81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left"/>
        <w:tblInd w:w="0" w:type="dxa"/>
        <w:tblLayout w:type="fixed"/>
        <w:tblCellMar>
          <w:top w:w="28" w:type="dxa"/>
          <w:left w:w="28" w:type="dxa"/>
          <w:bottom w:w="28" w:type="dxa"/>
          <w:right w:w="28" w:type="dxa"/>
        </w:tblCellMar>
      </w:tblPr>
      <w:tblGrid>
        <w:gridCol w:w="946"/>
        <w:gridCol w:w="832"/>
        <w:gridCol w:w="1177"/>
      </w:tblGrid>
      <w:tr>
        <w:trPr/>
        <w:tc>
          <w:tcPr>
            <w:tcW w:w="9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8"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0"/>
              </w:rPr>
            </w:pPr>
            <w:r>
              <w:rPr>
                <w:rFonts w:ascii="Arial;sans-serif" w:hAnsi="Arial;sans-serif"/>
                <w:b/>
                <w:color w:val="666666"/>
                <w:sz w:val="20"/>
              </w:rPr>
              <w:t xml:space="preserve">10. SEGMENT INFORMATION </w:t>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As of June 28, 2026, we have one reportable segment. Segment information is consistent with how our Chief Operating Decision Maker (CODM), who is our Chief Executive Officer, reviews financial information, makes operating decisions, allocates resources, and assesses performance. We also consider the way budgets and forecasts are prepared and reviewed and the basis on which executive compensation is determined. Our CODM allocates resources and evaluates business performance based on consolidated revenue and net income. Net income is used in the annual budgeting and monthly forecasting processes and to monitor and assess budgeted/forecasted versus actual results. Our CODM does not evaluate segments using asset information.</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The following table presents selected financial information with respect to segment profit for the periods presented:</w:t>
      </w:r>
    </w:p>
    <w:tbl>
      <w:tblPr>
        <w:tblW w:w="7485" w:type="dxa"/>
        <w:jc w:val="center"/>
        <w:tblInd w:w="0" w:type="dxa"/>
        <w:tblLayout w:type="fixed"/>
        <w:tblCellMar>
          <w:top w:w="28" w:type="dxa"/>
          <w:left w:w="28" w:type="dxa"/>
          <w:bottom w:w="28" w:type="dxa"/>
          <w:right w:w="28" w:type="dxa"/>
        </w:tblCellMar>
      </w:tblPr>
      <w:tblGrid>
        <w:gridCol w:w="938"/>
        <w:gridCol w:w="823"/>
        <w:gridCol w:w="83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2,251</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389</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tbl>
      <w:tblPr>
        <w:tblW w:w="5280" w:type="dxa"/>
        <w:jc w:val="left"/>
        <w:tblInd w:w="0" w:type="dxa"/>
        <w:tblLayout w:type="fixed"/>
        <w:tblCellMar>
          <w:top w:w="28" w:type="dxa"/>
          <w:left w:w="28" w:type="dxa"/>
          <w:bottom w:w="28" w:type="dxa"/>
          <w:right w:w="28" w:type="dxa"/>
        </w:tblCellMar>
      </w:tblPr>
      <w:tblGrid>
        <w:gridCol w:w="1691"/>
        <w:gridCol w:w="1485"/>
        <w:gridCol w:w="2104"/>
      </w:tblGrid>
      <w:tr>
        <w:trPr/>
        <w:tc>
          <w:tcPr>
            <w:tcW w:w="169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bottom w:val="single" w:sz="16"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4"/>
              </w:rPr>
            </w:pPr>
            <w:r>
              <w:rPr>
                <w:rFonts w:ascii="Arial;sans-serif" w:hAnsi="Arial;sans-serif"/>
                <w:b/>
                <w:color w:val="666666"/>
                <w:sz w:val="24"/>
              </w:rPr>
              <w:t>MANAGEMENT’S DISCUSSION &amp; ANALYSIS</w:t>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Our Management’s Discussion and Analysis (MD&amp;A) is designed to help readers understand our results of operations, financial condition, and cash flow. It is provided in addition to the accompanying condensed consolidated financial statements and notes. This MD&amp;A is organized as follows:</w:t>
      </w:r>
    </w:p>
    <w:p>
      <w:pPr>
        <w:pStyle w:val="TextBody"/>
        <w:bidi w:val="0"/>
        <w:spacing w:lineRule="auto" w:line="288" w:before="260" w:after="283"/>
        <w:ind w:left="0" w:right="0" w:hanging="270"/>
        <w:jc w:val="left"/>
        <w:rPr/>
      </w:pPr>
      <w:r>
        <w:rPr>
          <w:color w:val="000000"/>
        </w:rPr>
        <w:t>•</w:t>
      </w:r>
      <w:r>
        <w:rPr>
          <w:rFonts w:ascii="Arial;sans-serif" w:hAnsi="Arial;sans-serif"/>
          <w:b w:val="false"/>
          <w:i/>
          <w:color w:val="000000"/>
          <w:sz w:val="20"/>
        </w:rPr>
        <w:t>Management’s Overview and Outlook</w:t>
      </w:r>
      <w:r>
        <w:rPr>
          <w:rFonts w:ascii="Arial;sans-serif" w:hAnsi="Arial;sans-serif"/>
          <w:b w:val="false"/>
          <w:color w:val="000000"/>
          <w:sz w:val="20"/>
        </w:rPr>
        <w:t>. High-level discussion of our operating results and significant known trends that affect our business.</w:t>
      </w:r>
    </w:p>
    <w:p>
      <w:pPr>
        <w:pStyle w:val="TextBody"/>
        <w:bidi w:val="0"/>
        <w:spacing w:lineRule="auto" w:line="288" w:before="260" w:after="283"/>
        <w:ind w:left="0" w:right="0" w:hanging="270"/>
        <w:jc w:val="left"/>
        <w:rPr/>
      </w:pPr>
      <w:r>
        <w:rPr>
          <w:color w:val="000000"/>
        </w:rPr>
        <w:t>•</w:t>
      </w:r>
      <w:r>
        <w:rPr>
          <w:rFonts w:ascii="Arial;sans-serif" w:hAnsi="Arial;sans-serif"/>
          <w:b w:val="false"/>
          <w:i/>
          <w:color w:val="000000"/>
          <w:sz w:val="20"/>
        </w:rPr>
        <w:t>Results of Operations</w:t>
      </w:r>
      <w:r>
        <w:rPr>
          <w:rFonts w:ascii="Arial;sans-serif" w:hAnsi="Arial;sans-serif"/>
          <w:b w:val="false"/>
          <w:color w:val="000000"/>
          <w:sz w:val="20"/>
        </w:rPr>
        <w:t>. Discussion of our revenues and expenses.</w:t>
      </w:r>
    </w:p>
    <w:p>
      <w:pPr>
        <w:pStyle w:val="TextBody"/>
        <w:bidi w:val="0"/>
        <w:spacing w:lineRule="auto" w:line="288" w:before="260" w:after="283"/>
        <w:ind w:left="0" w:right="0" w:hanging="270"/>
        <w:jc w:val="left"/>
        <w:rPr/>
      </w:pPr>
      <w:r>
        <w:rPr>
          <w:color w:val="000000"/>
        </w:rPr>
        <w:t>•</w:t>
      </w:r>
      <w:r>
        <w:rPr>
          <w:rFonts w:ascii="Arial;sans-serif" w:hAnsi="Arial;sans-serif"/>
          <w:b w:val="false"/>
          <w:i/>
          <w:color w:val="000000"/>
          <w:sz w:val="20"/>
        </w:rPr>
        <w:t>Liquidity and Capital Resources.</w:t>
      </w:r>
      <w:r>
        <w:rPr>
          <w:color w:val="000000"/>
        </w:rPr>
        <w:t xml:space="preserve"> </w:t>
      </w:r>
      <w:r>
        <w:rPr>
          <w:rFonts w:ascii="Arial;sans-serif" w:hAnsi="Arial;sans-serif"/>
          <w:b w:val="false"/>
          <w:color w:val="000000"/>
          <w:sz w:val="20"/>
        </w:rPr>
        <w:t>Discussion of key aspects of our condensed consolidated statements of cash flows, changes in our financial position, and our financial commitments.</w:t>
      </w:r>
    </w:p>
    <w:p>
      <w:pPr>
        <w:pStyle w:val="TextBody"/>
        <w:bidi w:val="0"/>
        <w:spacing w:lineRule="auto" w:line="288" w:before="260" w:after="283"/>
        <w:ind w:left="0" w:right="0" w:hanging="270"/>
        <w:jc w:val="left"/>
        <w:rPr/>
      </w:pPr>
      <w:r>
        <w:rPr>
          <w:color w:val="000000"/>
        </w:rPr>
        <w:t>•</w:t>
      </w:r>
      <w:r>
        <w:rPr>
          <w:rFonts w:ascii="Arial;sans-serif" w:hAnsi="Arial;sans-serif"/>
          <w:b w:val="false"/>
          <w:i/>
          <w:color w:val="000000"/>
          <w:sz w:val="20"/>
        </w:rPr>
        <w:t>Critical Accounting Policies and Estimates</w:t>
      </w:r>
      <w:r>
        <w:rPr>
          <w:rFonts w:ascii="Arial;sans-serif" w:hAnsi="Arial;sans-serif"/>
          <w:b w:val="false"/>
          <w:color w:val="000000"/>
          <w:sz w:val="20"/>
        </w:rPr>
        <w:t xml:space="preserve">. Discussion of significant changes since our most recent Annual Report on Form </w:t>
      </w:r>
      <w:hyperlink r:id="rId8">
        <w:r>
          <w:rPr>
            <w:rStyle w:val="InternetLink"/>
            <w:rFonts w:ascii="Arial;sans-serif" w:hAnsi="Arial;sans-serif"/>
            <w:b w:val="false"/>
            <w:color w:val="0000FF"/>
            <w:sz w:val="20"/>
            <w:u w:val="single"/>
          </w:rPr>
          <w:t>10-K</w:t>
        </w:r>
      </w:hyperlink>
      <w:r>
        <w:rPr>
          <w:color w:val="000000"/>
        </w:rPr>
        <w:t xml:space="preserve"> </w:t>
      </w:r>
      <w:r>
        <w:rPr>
          <w:rFonts w:ascii="Arial;sans-serif" w:hAnsi="Arial;sans-serif"/>
          <w:b w:val="false"/>
          <w:color w:val="000000"/>
          <w:sz w:val="20"/>
        </w:rPr>
        <w:t>that we believe are important to understanding the assumptions and judgments underlying our condensed consolidated financial statements.</w:t>
      </w:r>
    </w:p>
    <w:p>
      <w:pPr>
        <w:pStyle w:val="TextBody"/>
        <w:bidi w:val="0"/>
        <w:spacing w:lineRule="auto" w:line="288" w:before="260" w:after="283"/>
        <w:ind w:left="0" w:right="0" w:hanging="270"/>
        <w:jc w:val="left"/>
        <w:rPr/>
      </w:pPr>
      <w:r>
        <w:rPr>
          <w:color w:val="000000"/>
        </w:rPr>
        <w:t>•</w:t>
      </w:r>
      <w:r>
        <w:rPr>
          <w:rFonts w:ascii="Arial;sans-serif" w:hAnsi="Arial;sans-serif"/>
          <w:b w:val="false"/>
          <w:i/>
          <w:color w:val="000000"/>
          <w:sz w:val="20"/>
        </w:rPr>
        <w:t>Recent Accounting Pronouncements</w:t>
      </w:r>
      <w:r>
        <w:rPr>
          <w:rFonts w:ascii="Arial;sans-serif" w:hAnsi="Arial;sans-serif"/>
          <w:b w:val="false"/>
          <w:color w:val="000000"/>
          <w:sz w:val="20"/>
        </w:rPr>
        <w:t>. Summary of recent accounting pronouncements applicable to our condensed consolidated financial statements.</w:t>
      </w:r>
    </w:p>
    <w:p>
      <w:pPr>
        <w:pStyle w:val="TextBody"/>
        <w:bidi w:val="0"/>
        <w:spacing w:lineRule="auto" w:line="288" w:before="260" w:after="283"/>
        <w:ind w:left="0" w:right="0" w:hanging="270"/>
        <w:jc w:val="left"/>
        <w:rPr/>
      </w:pPr>
      <w:r>
        <w:rPr>
          <w:color w:val="000000"/>
        </w:rPr>
        <w:t>•</w:t>
      </w:r>
      <w:r>
        <w:rPr>
          <w:rFonts w:ascii="Arial;sans-serif" w:hAnsi="Arial;sans-serif"/>
          <w:b w:val="false"/>
          <w:i/>
          <w:color w:val="000000"/>
          <w:sz w:val="20"/>
        </w:rPr>
        <w:t xml:space="preserve">Quantitative and Qualitative Disclosures About Market Risk. </w:t>
      </w:r>
      <w:r>
        <w:rPr>
          <w:rFonts w:ascii="Arial;sans-serif" w:hAnsi="Arial;sans-serif"/>
          <w:b w:val="false"/>
          <w:color w:val="000000"/>
          <w:sz w:val="20"/>
        </w:rPr>
        <w:t>Discussion of our financial instruments’ exposure to market risk.</w:t>
      </w:r>
    </w:p>
    <w:p>
      <w:pPr>
        <w:pStyle w:val="TextBody"/>
        <w:bidi w:val="0"/>
        <w:spacing w:lineRule="auto" w:line="288" w:before="260" w:after="283"/>
        <w:jc w:val="left"/>
        <w:rPr/>
      </w:pPr>
      <w:r>
        <w:rPr>
          <w:rFonts w:ascii="Arial;sans-serif" w:hAnsi="Arial;sans-serif"/>
          <w:b w:val="false"/>
          <w:color w:val="000000"/>
          <w:sz w:val="20"/>
        </w:rPr>
        <w:t xml:space="preserve">Our discussion of our results of operations, financial condition, and cash flows for Q2 2025 and YTD 2025 can be found in “Management’s Discussion and Analysis of Financial Condition and Results of Operations” within our filing of </w:t>
      </w:r>
      <w:hyperlink r:id="rId9">
        <w:r>
          <w:rPr>
            <w:rStyle w:val="InternetLink"/>
            <w:rFonts w:ascii="Arial;sans-serif" w:hAnsi="Arial;sans-serif"/>
            <w:b w:val="false"/>
            <w:color w:val="0000FF"/>
            <w:sz w:val="20"/>
            <w:u w:val="single"/>
          </w:rPr>
          <w:t>Form 10-Q</w:t>
        </w:r>
      </w:hyperlink>
      <w:r>
        <w:rPr>
          <w:color w:val="000000"/>
        </w:rPr>
        <w:t xml:space="preserve"> </w:t>
      </w:r>
      <w:r>
        <w:rPr>
          <w:rFonts w:ascii="Arial;sans-serif" w:hAnsi="Arial;sans-serif"/>
          <w:b w:val="false"/>
          <w:color w:val="000000"/>
          <w:sz w:val="20"/>
        </w:rPr>
        <w:t>for the fiscal quarter ended June 29, 2025.</w:t>
      </w:r>
    </w:p>
    <w:p>
      <w:pPr>
        <w:pStyle w:val="TextBody"/>
        <w:bidi w:val="0"/>
        <w:spacing w:lineRule="auto" w:line="288" w:before="260" w:after="283"/>
        <w:jc w:val="left"/>
        <w:rPr/>
      </w:pPr>
      <w:r>
        <w:rPr>
          <w:rFonts w:ascii="Arial;sans-serif" w:hAnsi="Arial;sans-serif"/>
          <w:b w:val="false"/>
          <w:color w:val="000000"/>
          <w:sz w:val="20"/>
        </w:rPr>
        <w:t xml:space="preserve">This MD&amp;A discussion contains forward-looking statements that involve risks and uncertainties. See </w:t>
      </w:r>
      <w:hyperlink w:anchor="id13d7d1498ca40b9b8840c98b90cc42c_10">
        <w:r>
          <w:rPr>
            <w:rStyle w:val="InternetLink"/>
            <w:rFonts w:ascii="Arial;sans-serif" w:hAnsi="Arial;sans-serif"/>
            <w:b w:val="false"/>
            <w:color w:val="0000FF"/>
            <w:sz w:val="20"/>
            <w:u w:val="single"/>
          </w:rPr>
          <w:t>Consideration Regarding Forward-Looking Statements</w:t>
        </w:r>
      </w:hyperlink>
      <w:r>
        <w:rPr>
          <w:color w:val="000000"/>
        </w:rPr>
        <w:t xml:space="preserve"> </w:t>
      </w:r>
      <w:r>
        <w:rPr>
          <w:rFonts w:ascii="Arial;sans-serif" w:hAnsi="Arial;sans-serif"/>
          <w:b w:val="false"/>
          <w:color w:val="000000"/>
          <w:sz w:val="20"/>
        </w:rPr>
        <w:t xml:space="preserve">preceding the Condensed Consolidated Financial Statements section of this report for additional factors relating to such statements. This MD&amp;A should be read in conjunction with our condensed consolidated financial statements and accompanying notes included in this report and our Annual Report on Form </w:t>
      </w:r>
      <w:hyperlink r:id="rId10">
        <w:r>
          <w:rPr>
            <w:rStyle w:val="InternetLink"/>
            <w:rFonts w:ascii="Arial;sans-serif" w:hAnsi="Arial;sans-serif"/>
            <w:b w:val="false"/>
            <w:color w:val="0000FF"/>
            <w:sz w:val="20"/>
            <w:u w:val="single"/>
          </w:rPr>
          <w:t>10-K</w:t>
        </w:r>
      </w:hyperlink>
      <w:r>
        <w:rPr>
          <w:color w:val="000000"/>
        </w:rPr>
        <w:t xml:space="preserve"> </w:t>
      </w:r>
      <w:r>
        <w:rPr>
          <w:rFonts w:ascii="Arial;sans-serif" w:hAnsi="Arial;sans-serif"/>
          <w:b w:val="false"/>
          <w:color w:val="000000"/>
          <w:sz w:val="20"/>
        </w:rPr>
        <w:t>for the fiscal year ended December 28, 2025. Operating results are not necessarily indicative of results that may occur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MANAGEMENT’S OVERVIEW AND OUTLOOK</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This overview and outlook provide a high-level discussion of our operating results and significant known trends that affect our business. We believe an understanding of these trends is important to understanding our financial results for the periods being reported herein as well as our future financial performance. This summary is not intended to be exhaustive, nor is it intended to be a substitute for the detailed discussion and analysis provided elsewhere.</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About Illumina</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Our focus on innovation has established us as a global leader in DNA sequencing and array-based technologies, serving customers in the research, clinical and applied markets. Our products are used for applications in the life sciences, oncology, reproductive health, agriculture and other emerging segments. Our customers include leading genomic research centers, academic institutions, government laboratories, and hospitals, as well as pharmaceutical, biotechnology, commercial molecular diagnostic laboratories, and consumer genomics companies. Our comprehensive line of products addresses the scale of experimentation and breadth of functional analysis to advance disease research, drug development, and the development of molecular tests. This portfolio of leading-edge sequencing and array-based solutions addresses a range of genomic complexity and throughput, enabling researchers and clinical practitioners to select the best solution for their scientific challenge.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pPr>
      <w:r>
        <w:rPr>
          <w:rFonts w:ascii="Arial;sans-serif" w:hAnsi="Arial;sans-serif"/>
          <w:b w:val="false"/>
          <w:color w:val="000000"/>
          <w:sz w:val="20"/>
          <w:shd w:fill="FFFFFF" w:val="clear"/>
        </w:rPr>
        <w:t xml:space="preserve">On January 30, 2026, we acquired SomaLogic, a proteomics company that provides high-throughput protein measurement technology and related data analysis services, and other specified assets from Standard BioTools. We believe our acquisition of SomaLogic will enhance our presence in the proteomics market and advance our multiomics strategy. We have included the financial results of SomaLogic in our condensed consolidated financial statements from the date of acquisition. Refer to note </w:t>
      </w:r>
      <w:hyperlink w:anchor="id13d7d1498ca40b9b8840c98b90cc42c_40">
        <w:r>
          <w:rPr>
            <w:rStyle w:val="InternetLink"/>
            <w:rFonts w:ascii="Arial;sans-serif" w:hAnsi="Arial;sans-serif"/>
            <w:b w:val="false"/>
            <w:color w:val="0000FF"/>
            <w:sz w:val="20"/>
            <w:u w:val="single"/>
            <w:shd w:fill="FFFFFF" w:val="clear"/>
          </w:rPr>
          <w:t>2. Acquisitions, Intangible Assets and Goodwill</w:t>
        </w:r>
      </w:hyperlink>
      <w:r>
        <w:rPr>
          <w:color w:val="000000"/>
          <w:shd w:fill="FFFFFF" w:val="clear"/>
        </w:rPr>
        <w:t xml:space="preserve"> </w:t>
      </w:r>
      <w:r>
        <w:rPr>
          <w:rFonts w:ascii="Arial;sans-serif" w:hAnsi="Arial;sans-serif"/>
          <w:b w:val="false"/>
          <w:color w:val="000000"/>
          <w:sz w:val="20"/>
          <w:shd w:fill="FFFFFF" w:val="clear"/>
        </w:rPr>
        <w:t xml:space="preserve">for details. </w:t>
      </w:r>
    </w:p>
    <w:p>
      <w:pPr>
        <w:pStyle w:val="TextBody"/>
        <w:bidi w:val="0"/>
        <w:spacing w:lineRule="auto" w:line="288" w:before="260" w:after="283"/>
        <w:jc w:val="left"/>
        <w:rPr/>
      </w:pPr>
      <w:r>
        <w:rPr>
          <w:rFonts w:ascii="Arial;sans-serif" w:hAnsi="Arial;sans-serif"/>
          <w:b w:val="false"/>
          <w:color w:val="000000"/>
          <w:sz w:val="20"/>
        </w:rPr>
        <w:t xml:space="preserve">Our financial results have been, and will continue to be, impacted by several significant trends, which are described below. While these trends are important to understanding and evaluating our financial results, this discussion should be read in conjunction with our condensed consolidated financial statements and the notes thereto within the Condensed Consolidated Financial Statements section of this report, and the other transactions, events, and trends discussed in </w:t>
      </w:r>
      <w:hyperlink w:anchor="id13d7d1498ca40b9b8840c98b90cc42c_133">
        <w:r>
          <w:rPr>
            <w:rStyle w:val="InternetLink"/>
            <w:rFonts w:ascii="Arial;sans-serif" w:hAnsi="Arial;sans-serif"/>
            <w:b w:val="false"/>
            <w:color w:val="0000FF"/>
            <w:sz w:val="20"/>
            <w:u w:val="single"/>
          </w:rPr>
          <w:t>Risk Factors</w:t>
        </w:r>
      </w:hyperlink>
      <w:r>
        <w:rPr>
          <w:color w:val="000000"/>
        </w:rPr>
        <w:t xml:space="preserve"> </w:t>
      </w:r>
      <w:r>
        <w:rPr>
          <w:rFonts w:ascii="Arial;sans-serif" w:hAnsi="Arial;sans-serif"/>
          <w:b w:val="false"/>
          <w:color w:val="000000"/>
          <w:sz w:val="20"/>
        </w:rPr>
        <w:t>within the Other Key Information section of this report.</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 xml:space="preserve">Financial Overview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2024, we outlined key strategic goals focused on a return to revenue growth and improved margin performance by the end of 2027. We continued to make progress toward these goals in YTD 2026. Revenue increased 7% to $2,251 million and operating margin increased to 20.2% in YTD 2026 as compared to 18.0% in YTD 2025.</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Throughout 2025 and 2026, we experienced several headwinds, including macroeconomic factors such as tariffs, inflation, exchange rate fluctuations and concerns about an economic downturn, competitive challenges in our China region, inclusion on the unreliable entities list by regulatory authorities in China, impacts from armed conflicts between Russia and Ukraine and in the Middle East, including Iran, and reductions in the U.S. government’s funding of the NIH. Moreover, in 2026, we have experienced higher fuel, energy, and shipping costs related to the conflict and instability in the Middle East and higher costs associated with memory chips used in our products, both of which have negatively impacted gross margin in 2026. We expect these factors to continue to impact our sales and results of operations in 2026, and beyond, the magnitude and duration of which remains uncertain.</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April 2025, the U.S. government and several other countries enacted tariffs. Under the current environment, the largest cost impact to us relates to importation from our manufacturing facility in Singapore. The remainder is a mix of importation of parts and sub-assemblies to our manufacturing operations in the U.S. and importation into China. In February 2026, the U.S. Supreme Court held that the International Emergency Economic Powers Act (IEEPA) does not authorize the imposition of tariffs. In March 2026, the U.S. Court of International Trade ordered U.S. Customs and Border Protection (CBP) to process refunds of IEEPA-related tariffs, and CBP has been implementing that process in phases. We have incurred significant costs under IEEPA-related tariffs since their implementation. While we intend to seek refunds, and have begun that process, the timing and amount of recoveries remain uncertain and will depend on the scope and timing of future phases, any further court or administrative developments, and completion of applicable administrative steps. We expect to recognize any recoveries, which to date have been immaterial, in our consolidated financial statements when realized (generally upon receipt). We have taken and will continue to take action to mitigate the impact of tariffs. We have partially mitigated the effects of tariffs through supply-chain optimization, cost measures, and pricing actions, and aim to continue such efforts in the future.</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Financial highlights for YTD 2026 included the following:</w:t>
      </w:r>
    </w:p>
    <w:p>
      <w:pPr>
        <w:pStyle w:val="TextBody"/>
        <w:bidi w:val="0"/>
        <w:spacing w:lineRule="auto" w:line="288" w:before="260" w:after="283"/>
        <w:ind w:left="0" w:right="0" w:hanging="315"/>
        <w:jc w:val="left"/>
        <w:rPr/>
      </w:pPr>
      <w:r>
        <w:rPr>
          <w:color w:val="000000"/>
        </w:rPr>
        <w:t>•</w:t>
      </w:r>
      <w:r>
        <w:rPr>
          <w:rFonts w:ascii="Arial;sans-serif" w:hAnsi="Arial;sans-serif"/>
          <w:b w:val="false"/>
          <w:color w:val="000000"/>
          <w:sz w:val="20"/>
        </w:rPr>
        <w:t>Revenue increased 7% in YTD 2026 to $2,251 million compared to $2,100 million in YTD 2025 primarily due to increases in consumables and instruments related to demand for our NovaSeq X instrument. Service and other revenue increased primarily due to revenue attributable to SomaLogic, which we acquired in January 2026.</w:t>
      </w:r>
    </w:p>
    <w:p>
      <w:pPr>
        <w:pStyle w:val="TextBody"/>
        <w:bidi w:val="0"/>
        <w:spacing w:lineRule="auto" w:line="288" w:before="260" w:after="283"/>
        <w:ind w:left="0" w:right="0" w:hanging="315"/>
        <w:jc w:val="left"/>
        <w:rPr/>
      </w:pPr>
      <w:r>
        <w:rPr>
          <w:color w:val="000000"/>
        </w:rPr>
        <w:t>•</w:t>
      </w:r>
      <w:r>
        <w:rPr>
          <w:rFonts w:ascii="Arial;sans-serif" w:hAnsi="Arial;sans-serif"/>
          <w:b w:val="false"/>
          <w:color w:val="000000"/>
          <w:sz w:val="20"/>
        </w:rPr>
        <w:t>Gross margin was 66.2% in YTD 2026 compared to 65.6% in YTD 2025. The increase in gross margin was driven primarily by a $23 million intangible asset impairment recognized in Q2 2025. Excluding this impact, gross margin decreased primarily due to higher tariff costs, increased sales mix toward lower-margin instruments as compared to higher-margin consumables, the addition of lower-margin SomaLogic revenue, and higher memory chip and freight costs, partially offset by decreases for field service and warranty costs. Gross margin depends on many factors, including: market conditions that may impact our pricing; sales mix changes among consumables, instruments, services, and strategic partnership revenue; product mix changes between established products and new products; excess and obsolete inventories; royalties; our cost structure for manufacturing operations relative to volume; freight costs; tariffs; and product support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ind w:left="0" w:right="0" w:hanging="315"/>
        <w:jc w:val="left"/>
        <w:rPr/>
      </w:pPr>
      <w:r>
        <w:rPr>
          <w:color w:val="000000"/>
        </w:rPr>
        <w:t>•</w:t>
      </w:r>
      <w:r>
        <w:rPr>
          <w:rFonts w:ascii="Arial;sans-serif" w:hAnsi="Arial;sans-serif"/>
          <w:b w:val="false"/>
          <w:color w:val="000000"/>
          <w:sz w:val="20"/>
        </w:rPr>
        <w:t>Income from operations was $454 million in YTD 2026 compared to $378 million in YTD 2025. The increase was due to an increase</w:t>
      </w:r>
      <w:r>
        <w:rPr>
          <w:color w:val="000000"/>
        </w:rPr>
        <w:t xml:space="preserve"> </w:t>
      </w:r>
      <w:r>
        <w:rPr>
          <w:rFonts w:ascii="Arial;sans-serif" w:hAnsi="Arial;sans-serif"/>
          <w:b w:val="false"/>
          <w:color w:val="000000"/>
          <w:sz w:val="20"/>
        </w:rPr>
        <w:t>in gross profit of $113 million, offset by an increase in operating expense of $37 million. The increase in operating expense was primarily due to increases in legal expenses, costs related to our ERP upgrade, and employee-related compensation costs, partially offset by a decrease in restructuring charges of $36 million and an increase in benefits recognized from government incentives of $21 million.</w:t>
      </w:r>
    </w:p>
    <w:p>
      <w:pPr>
        <w:pStyle w:val="TextBody"/>
        <w:bidi w:val="0"/>
        <w:spacing w:lineRule="auto" w:line="288" w:before="260" w:after="283"/>
        <w:ind w:left="0" w:right="0" w:hanging="315"/>
        <w:jc w:val="left"/>
        <w:rPr/>
      </w:pPr>
      <w:r>
        <w:rPr>
          <w:color w:val="000000"/>
        </w:rPr>
        <w:t>•</w:t>
      </w:r>
      <w:r>
        <w:rPr>
          <w:rFonts w:ascii="Arial;sans-serif" w:hAnsi="Arial;sans-serif"/>
          <w:b w:val="false"/>
          <w:color w:val="000000"/>
          <w:sz w:val="20"/>
        </w:rPr>
        <w:t>Our effective tax rate was 18.4% in YTD 2026 compared to 25.1% in YTD 2025. The variance from the U.S. federal statutory tax rate of 21% was primarily due to prior year tax return adjustments. The tax rate in YTD 2026 was favorably impacted by the mix of earnings in jurisdictions with lower statutory tax rates than the U.S. federal statutory tax rate, such as in Singapore.</w:t>
      </w:r>
    </w:p>
    <w:p>
      <w:pPr>
        <w:pStyle w:val="TextBody"/>
        <w:bidi w:val="0"/>
        <w:spacing w:lineRule="auto" w:line="288" w:before="260" w:after="283"/>
        <w:ind w:left="0" w:right="0" w:hanging="315"/>
        <w:jc w:val="left"/>
        <w:rPr/>
      </w:pPr>
      <w:r>
        <w:rPr>
          <w:color w:val="000000"/>
        </w:rPr>
        <w:t>•</w:t>
      </w:r>
      <w:r>
        <w:rPr>
          <w:rFonts w:ascii="Arial;sans-serif" w:hAnsi="Arial;sans-serif"/>
          <w:b w:val="false"/>
          <w:color w:val="000000"/>
          <w:sz w:val="20"/>
        </w:rPr>
        <w:t>We ended Q2 2026 with cash, cash equivalents, and short-term investments totaling $1,168 million, of which approximately $435 million was held by our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RESULTS OF OPERATIONS</w:t>
      </w:r>
    </w:p>
    <w:p>
      <w:pPr>
        <w:pStyle w:val="TextBody"/>
        <w:bidi w:val="0"/>
        <w:spacing w:lineRule="auto" w:line="288" w:before="260" w:after="283"/>
        <w:jc w:val="left"/>
        <w:rPr/>
      </w:pPr>
      <w:r>
        <w:rPr>
          <w:rFonts w:ascii="Arial;sans-serif" w:hAnsi="Arial;sans-serif"/>
          <w:b w:val="false"/>
          <w:color w:val="000000"/>
          <w:sz w:val="20"/>
        </w:rPr>
        <w:t>To enhance comparability, the following table sets forth unaudited condensed consolidated statement of operations data for the specified reporting periods, stated as a percentage of total revenue.</w:t>
      </w:r>
      <w:r>
        <w:rPr>
          <w:rFonts w:ascii="Arial;sans-serif" w:hAnsi="Arial;sans-serif"/>
          <w:b w:val="false"/>
          <w:color w:val="000000"/>
          <w:sz w:val="10"/>
        </w:rPr>
        <w:t>(1)</w:t>
      </w:r>
    </w:p>
    <w:tbl>
      <w:tblPr>
        <w:tblW w:w="9175" w:type="dxa"/>
        <w:jc w:val="left"/>
        <w:tblInd w:w="0" w:type="dxa"/>
        <w:tblLayout w:type="fixed"/>
        <w:tblCellMar>
          <w:top w:w="28" w:type="dxa"/>
          <w:left w:w="28" w:type="dxa"/>
          <w:bottom w:w="28" w:type="dxa"/>
          <w:right w:w="28" w:type="dxa"/>
        </w:tblCellMar>
      </w:tblPr>
      <w:tblGrid>
        <w:gridCol w:w="1362"/>
        <w:gridCol w:w="1199"/>
        <w:gridCol w:w="1204"/>
        <w:gridCol w:w="322"/>
        <w:gridCol w:w="324"/>
        <w:gridCol w:w="417"/>
        <w:gridCol w:w="109"/>
        <w:gridCol w:w="109"/>
        <w:gridCol w:w="109"/>
        <w:gridCol w:w="322"/>
        <w:gridCol w:w="324"/>
        <w:gridCol w:w="417"/>
        <w:gridCol w:w="109"/>
        <w:gridCol w:w="109"/>
        <w:gridCol w:w="109"/>
        <w:gridCol w:w="322"/>
        <w:gridCol w:w="324"/>
        <w:gridCol w:w="477"/>
        <w:gridCol w:w="109"/>
        <w:gridCol w:w="109"/>
        <w:gridCol w:w="109"/>
        <w:gridCol w:w="322"/>
        <w:gridCol w:w="324"/>
        <w:gridCol w:w="53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063"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84.7</w:t>
            </w: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84.4</w:t>
            </w: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and other revenue</w:t>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w:t>
            </w:r>
            <w:r>
              <w:rPr>
                <w:color w:val="000000"/>
              </w:rPr>
              <w:t>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w:t>
            </w:r>
            <w:r>
              <w:rPr>
                <w:color w:val="000000"/>
              </w:rPr>
              <w:t> </w:t>
            </w:r>
          </w:p>
        </w:tc>
        <w:tc>
          <w:tcPr>
            <w:tcW w:w="47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53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3"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25.1</w:t>
            </w: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25.1</w:t>
            </w: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 and other revenue</w:t>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w:t>
            </w:r>
            <w:r>
              <w:rPr>
                <w:color w:val="000000"/>
              </w:rPr>
              <w:t> </w:t>
            </w:r>
          </w:p>
        </w:tc>
        <w:tc>
          <w:tcPr>
            <w:tcW w:w="47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53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w:t>
            </w:r>
            <w:r>
              <w:rPr>
                <w:color w:val="000000"/>
              </w:rPr>
              <w:t> </w:t>
            </w:r>
          </w:p>
        </w:tc>
        <w:tc>
          <w:tcPr>
            <w:tcW w:w="41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41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33.8</w:t>
            </w:r>
            <w:r>
              <w:rPr>
                <w:color w:val="000000"/>
              </w:rPr>
              <w:t> </w:t>
            </w:r>
          </w:p>
        </w:tc>
        <w:tc>
          <w:tcPr>
            <w:tcW w:w="47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53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66.4</w:t>
            </w:r>
            <w:r>
              <w:rPr>
                <w:color w:val="000000"/>
              </w:rPr>
              <w:t>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66.2</w:t>
            </w:r>
            <w:r>
              <w:rPr>
                <w:color w:val="000000"/>
              </w:rPr>
              <w:t> </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w:t>
            </w:r>
          </w:p>
        </w:tc>
        <w:tc>
          <w:tcPr>
            <w:tcW w:w="1063"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w:t>
            </w: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21.8</w:t>
            </w: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w:t>
            </w:r>
            <w:r>
              <w:rPr>
                <w:color w:val="000000"/>
              </w:rPr>
              <w:t>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w:t>
            </w:r>
            <w:r>
              <w:rPr>
                <w:color w:val="000000"/>
              </w:rPr>
              <w:t> </w:t>
            </w:r>
          </w:p>
        </w:tc>
        <w:tc>
          <w:tcPr>
            <w:tcW w:w="47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53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45.3</w:t>
            </w:r>
            <w:r>
              <w:rPr>
                <w:color w:val="000000"/>
              </w:rPr>
              <w:t>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46.0</w:t>
            </w:r>
            <w:r>
              <w:rPr>
                <w:color w:val="000000"/>
              </w:rPr>
              <w:t> </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41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41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w:t>
            </w:r>
            <w:r>
              <w:rPr>
                <w:color w:val="000000"/>
              </w:rPr>
              <w:t> </w:t>
            </w:r>
          </w:p>
        </w:tc>
        <w:tc>
          <w:tcPr>
            <w:tcW w:w="47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53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0.7</w:t>
            </w:r>
            <w:r>
              <w:rPr>
                <w:color w:val="000000"/>
              </w:rPr>
              <w:t>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w:t>
            </w:r>
            <w:r>
              <w:rPr>
                <w:color w:val="000000"/>
              </w:rPr>
              <w:t> </w:t>
            </w:r>
          </w:p>
        </w:tc>
        <w:tc>
          <w:tcPr>
            <w:tcW w:w="47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3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41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w:t>
            </w:r>
          </w:p>
        </w:tc>
        <w:tc>
          <w:tcPr>
            <w:tcW w:w="47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53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w:t>
            </w:r>
            <w:r>
              <w:rPr>
                <w:color w:val="000000"/>
              </w:rPr>
              <w:t> </w:t>
            </w:r>
          </w:p>
        </w:tc>
        <w:tc>
          <w:tcPr>
            <w:tcW w:w="41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41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477"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53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646"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w:t>
            </w:r>
            <w:r>
              <w:rPr>
                <w:color w:val="000000"/>
              </w:rPr>
              <w:t> </w:t>
            </w:r>
          </w:p>
        </w:tc>
        <w:tc>
          <w:tcPr>
            <w:tcW w:w="417"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417"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477"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53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Percentages may not recalculate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76" w:before="260" w:after="283"/>
        <w:jc w:val="left"/>
        <w:rPr>
          <w:rFonts w:ascii="Arial;sans-serif" w:hAnsi="Arial;sans-serif"/>
          <w:b/>
          <w:color w:val="000000"/>
          <w:sz w:val="20"/>
        </w:rPr>
      </w:pPr>
      <w:r>
        <w:rPr>
          <w:rFonts w:ascii="Arial;sans-serif" w:hAnsi="Arial;sans-serif"/>
          <w:b/>
          <w:color w:val="000000"/>
          <w:sz w:val="20"/>
        </w:rPr>
        <w:t>Revenue</w:t>
      </w:r>
    </w:p>
    <w:tbl>
      <w:tblPr>
        <w:tblW w:w="10938" w:type="dxa"/>
        <w:jc w:val="left"/>
        <w:tblInd w:w="0" w:type="dxa"/>
        <w:tblLayout w:type="fixed"/>
        <w:tblCellMar>
          <w:top w:w="28" w:type="dxa"/>
          <w:left w:w="28" w:type="dxa"/>
          <w:bottom w:w="28" w:type="dxa"/>
          <w:right w:w="28" w:type="dxa"/>
        </w:tblCellMar>
      </w:tblPr>
      <w:tblGrid>
        <w:gridCol w:w="494"/>
        <w:gridCol w:w="433"/>
        <w:gridCol w:w="37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198"/>
        <w:gridCol w:w="198"/>
        <w:gridCol w:w="520"/>
        <w:gridCol w:w="109"/>
        <w:gridCol w:w="109"/>
        <w:gridCol w:w="10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190"/>
        <w:gridCol w:w="190"/>
        <w:gridCol w:w="581"/>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30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Consumables</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852</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2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1,649</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Instruments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product revenue</w:t>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20"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1,899</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8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and other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2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2,251</w:t>
            </w:r>
            <w:r>
              <w:rPr>
                <w:color w:val="000000"/>
              </w:rPr>
              <w:t>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8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Consumables revenue increased in Q2 2026 and YTD 2026 primarily due to greater demand for high-throughput consumables, supported by continued growth of the NovaSeq X installed base, partially offset by a decrease in mid-throughput consumables. Instruments revenue increased in Q2 2026 and YTD 2026 primarily driven by higher NovaSeq X and MiSeq i100 shipments. Service and other revenue increased in Q2 2026 and YTD 2026 primarily due to revenue attributable to SomaLogic, which we acquired in January 2026, and increases in revenue from our development and licensing agreements and informatics solutions. Total revenue in Q2 2026 and YTD 2026 was impacted, across all products and services, by a decrease in revenue from our Greater China region of $7 million and $27 million, respectively, primarily due to our inclusion on the unreliable entities list.</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Gross Margin</w:t>
      </w:r>
    </w:p>
    <w:tbl>
      <w:tblPr>
        <w:tblW w:w="10205" w:type="dxa"/>
        <w:jc w:val="left"/>
        <w:tblInd w:w="0" w:type="dxa"/>
        <w:tblLayout w:type="fixed"/>
        <w:tblCellMar>
          <w:top w:w="28" w:type="dxa"/>
          <w:left w:w="28" w:type="dxa"/>
          <w:bottom w:w="28" w:type="dxa"/>
          <w:right w:w="28" w:type="dxa"/>
        </w:tblCellMar>
      </w:tblPr>
      <w:tblGrid>
        <w:gridCol w:w="350"/>
        <w:gridCol w:w="269"/>
        <w:gridCol w:w="272"/>
        <w:gridCol w:w="332"/>
        <w:gridCol w:w="209"/>
        <w:gridCol w:w="305"/>
        <w:gridCol w:w="109"/>
        <w:gridCol w:w="109"/>
        <w:gridCol w:w="109"/>
        <w:gridCol w:w="332"/>
        <w:gridCol w:w="209"/>
        <w:gridCol w:w="305"/>
        <w:gridCol w:w="109"/>
        <w:gridCol w:w="109"/>
        <w:gridCol w:w="109"/>
        <w:gridCol w:w="218"/>
        <w:gridCol w:w="389"/>
        <w:gridCol w:w="114"/>
        <w:gridCol w:w="109"/>
        <w:gridCol w:w="109"/>
        <w:gridCol w:w="109"/>
        <w:gridCol w:w="198"/>
        <w:gridCol w:w="198"/>
        <w:gridCol w:w="520"/>
        <w:gridCol w:w="109"/>
        <w:gridCol w:w="109"/>
        <w:gridCol w:w="109"/>
        <w:gridCol w:w="306"/>
        <w:gridCol w:w="235"/>
        <w:gridCol w:w="425"/>
        <w:gridCol w:w="109"/>
        <w:gridCol w:w="109"/>
        <w:gridCol w:w="109"/>
        <w:gridCol w:w="306"/>
        <w:gridCol w:w="235"/>
        <w:gridCol w:w="425"/>
        <w:gridCol w:w="109"/>
        <w:gridCol w:w="109"/>
        <w:gridCol w:w="109"/>
        <w:gridCol w:w="211"/>
        <w:gridCol w:w="481"/>
        <w:gridCol w:w="109"/>
        <w:gridCol w:w="109"/>
        <w:gridCol w:w="109"/>
        <w:gridCol w:w="109"/>
        <w:gridCol w:w="190"/>
        <w:gridCol w:w="190"/>
        <w:gridCol w:w="583"/>
      </w:tblGrid>
      <w:tr>
        <w:trPr/>
        <w:tc>
          <w:tcPr>
            <w:tcW w:w="3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89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3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770</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1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2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0"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1,491</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83"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66.4</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66.2</w:t>
            </w: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Gross margin increased in Q2 2026 and YTD 2026 primarily due to a $23 million intangible asset impairment recognized in Q2 2025. Excluding this impact, gross margin decreased in Q2 2026 and YTD 2026. The decrease in Q2 2026 is primarily due to an increased sales mix toward lower-margin instruments as compared to higher-margin consumables, rising memory costs, higher freight costs resulting from the Middle East conflict, and the contribution of lower-margin SomaLogic revenue, partially offset by lower tariff costs as a result of ongoing operational initiatives. The decrease in YTD 2026 is primarily due to higher tariff costs, an increased sales mix toward instruments as compared to consumables, rising memory and higher freight costs, and the addition of SomaLogic revenue, partially offset by decreases in field service and warranty costs.</w:t>
      </w:r>
    </w:p>
    <w:p>
      <w:pPr>
        <w:pStyle w:val="TextBody"/>
        <w:bidi w:val="0"/>
        <w:spacing w:lineRule="auto" w:line="268" w:before="260" w:after="283"/>
        <w:jc w:val="left"/>
        <w:rPr>
          <w:rFonts w:ascii="Arial;sans-serif" w:hAnsi="Arial;sans-serif"/>
          <w:b/>
          <w:color w:val="000000"/>
          <w:sz w:val="20"/>
        </w:rPr>
      </w:pPr>
      <w:r>
        <w:rPr>
          <w:rFonts w:ascii="Arial;sans-serif" w:hAnsi="Arial;sans-serif"/>
          <w:b/>
          <w:color w:val="000000"/>
          <w:sz w:val="20"/>
        </w:rPr>
        <w:t>Operating Expense</w:t>
      </w:r>
    </w:p>
    <w:tbl>
      <w:tblPr>
        <w:tblW w:w="10478" w:type="dxa"/>
        <w:jc w:val="left"/>
        <w:tblInd w:w="0" w:type="dxa"/>
        <w:tblLayout w:type="fixed"/>
        <w:tblCellMar>
          <w:top w:w="28" w:type="dxa"/>
          <w:left w:w="28" w:type="dxa"/>
          <w:bottom w:w="28" w:type="dxa"/>
          <w:right w:w="28" w:type="dxa"/>
        </w:tblCellMar>
      </w:tblPr>
      <w:tblGrid>
        <w:gridCol w:w="599"/>
        <w:gridCol w:w="433"/>
        <w:gridCol w:w="304"/>
        <w:gridCol w:w="211"/>
        <w:gridCol w:w="481"/>
        <w:gridCol w:w="109"/>
        <w:gridCol w:w="109"/>
        <w:gridCol w:w="109"/>
        <w:gridCol w:w="109"/>
        <w:gridCol w:w="211"/>
        <w:gridCol w:w="481"/>
        <w:gridCol w:w="109"/>
        <w:gridCol w:w="109"/>
        <w:gridCol w:w="109"/>
        <w:gridCol w:w="109"/>
        <w:gridCol w:w="218"/>
        <w:gridCol w:w="389"/>
        <w:gridCol w:w="114"/>
        <w:gridCol w:w="109"/>
        <w:gridCol w:w="109"/>
        <w:gridCol w:w="109"/>
        <w:gridCol w:w="198"/>
        <w:gridCol w:w="198"/>
        <w:gridCol w:w="520"/>
        <w:gridCol w:w="109"/>
        <w:gridCol w:w="109"/>
        <w:gridCol w:w="109"/>
        <w:gridCol w:w="211"/>
        <w:gridCol w:w="646"/>
        <w:gridCol w:w="109"/>
        <w:gridCol w:w="109"/>
        <w:gridCol w:w="109"/>
        <w:gridCol w:w="109"/>
        <w:gridCol w:w="211"/>
        <w:gridCol w:w="646"/>
        <w:gridCol w:w="109"/>
        <w:gridCol w:w="109"/>
        <w:gridCol w:w="109"/>
        <w:gridCol w:w="109"/>
        <w:gridCol w:w="218"/>
        <w:gridCol w:w="389"/>
        <w:gridCol w:w="114"/>
        <w:gridCol w:w="109"/>
        <w:gridCol w:w="109"/>
        <w:gridCol w:w="109"/>
        <w:gridCol w:w="190"/>
        <w:gridCol w:w="190"/>
        <w:gridCol w:w="581"/>
      </w:tblGrid>
      <w:tr>
        <w:trPr/>
        <w:tc>
          <w:tcPr>
            <w:tcW w:w="59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33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2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9"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1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w:t>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525</w:t>
            </w:r>
            <w:r>
              <w:rPr>
                <w:color w:val="000000"/>
              </w:rPr>
              <w:t>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1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2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1,037</w:t>
            </w:r>
            <w:r>
              <w:rPr>
                <w:color w:val="000000"/>
              </w:rPr>
              <w:t>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8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R&amp;D expense increased in Q2 2026 primarily due to increases in lab supply and employee-related compensation costs, partially offset by a decrease in restructuring charges of $4 million and an increase in government incentive benefits of $3 million. R&amp;D expense decreased in YTD 2026 primarily due to a decrease in restructuring charges of $14 million and an increase in government incentives of $7 million, partially offset by increases in lab supply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SG&amp;A expense increased in Q2 2026 and YTD 2026 primarily due to:</w:t>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 increase in employee-related compensation costs </w:t>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 increase in legal expenses related primarily to various IP litigation matters</w:t>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 lower net gain recognized on contingent consideration liabilities in Q2 2026; flat in YTD 2026 </w:t>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 increase in costs associated with the upgrade of our global enterprise resource planning (ERP) system</w:t>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 decrease in restructuring charges of $3 million and $22 million, respectively, for employee severance costs </w:t>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 increase in government incentive benefits of $15 million and $14 million, respectively </w:t>
      </w:r>
    </w:p>
    <w:p>
      <w:pPr>
        <w:pStyle w:val="TextBody"/>
        <w:bidi w:val="0"/>
        <w:spacing w:lineRule="auto" w:line="276" w:before="260" w:after="283"/>
        <w:jc w:val="left"/>
        <w:rPr>
          <w:rFonts w:ascii="Arial;sans-serif" w:hAnsi="Arial;sans-serif"/>
          <w:b/>
          <w:color w:val="000000"/>
          <w:sz w:val="20"/>
        </w:rPr>
      </w:pPr>
      <w:r>
        <w:rPr>
          <w:rFonts w:ascii="Arial;sans-serif" w:hAnsi="Arial;sans-serif"/>
          <w:b/>
          <w:color w:val="000000"/>
          <w:sz w:val="20"/>
        </w:rPr>
        <w:t>Other Income (Expense)</w:t>
      </w:r>
    </w:p>
    <w:tbl>
      <w:tblPr>
        <w:tblW w:w="10205" w:type="dxa"/>
        <w:jc w:val="left"/>
        <w:tblInd w:w="0" w:type="dxa"/>
        <w:tblLayout w:type="fixed"/>
        <w:tblCellMar>
          <w:top w:w="28" w:type="dxa"/>
          <w:left w:w="28" w:type="dxa"/>
          <w:bottom w:w="28" w:type="dxa"/>
          <w:right w:w="28" w:type="dxa"/>
        </w:tblCellMar>
      </w:tblPr>
      <w:tblGrid>
        <w:gridCol w:w="683"/>
        <w:gridCol w:w="371"/>
        <w:gridCol w:w="375"/>
        <w:gridCol w:w="213"/>
        <w:gridCol w:w="380"/>
        <w:gridCol w:w="110"/>
        <w:gridCol w:w="109"/>
        <w:gridCol w:w="109"/>
        <w:gridCol w:w="109"/>
        <w:gridCol w:w="213"/>
        <w:gridCol w:w="380"/>
        <w:gridCol w:w="110"/>
        <w:gridCol w:w="109"/>
        <w:gridCol w:w="109"/>
        <w:gridCol w:w="109"/>
        <w:gridCol w:w="211"/>
        <w:gridCol w:w="408"/>
        <w:gridCol w:w="109"/>
        <w:gridCol w:w="109"/>
        <w:gridCol w:w="109"/>
        <w:gridCol w:w="109"/>
        <w:gridCol w:w="202"/>
        <w:gridCol w:w="202"/>
        <w:gridCol w:w="520"/>
        <w:gridCol w:w="109"/>
        <w:gridCol w:w="109"/>
        <w:gridCol w:w="109"/>
        <w:gridCol w:w="215"/>
        <w:gridCol w:w="399"/>
        <w:gridCol w:w="111"/>
        <w:gridCol w:w="109"/>
        <w:gridCol w:w="109"/>
        <w:gridCol w:w="109"/>
        <w:gridCol w:w="213"/>
        <w:gridCol w:w="486"/>
        <w:gridCol w:w="110"/>
        <w:gridCol w:w="109"/>
        <w:gridCol w:w="109"/>
        <w:gridCol w:w="109"/>
        <w:gridCol w:w="211"/>
        <w:gridCol w:w="493"/>
        <w:gridCol w:w="109"/>
        <w:gridCol w:w="109"/>
        <w:gridCol w:w="109"/>
        <w:gridCol w:w="109"/>
        <w:gridCol w:w="246"/>
        <w:gridCol w:w="247"/>
        <w:gridCol w:w="589"/>
      </w:tblGrid>
      <w:tr>
        <w:trPr/>
        <w:tc>
          <w:tcPr>
            <w:tcW w:w="68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5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1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8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5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5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260" w:after="283"/>
              <w:jc w:val="left"/>
              <w:rPr>
                <w:rFonts w:ascii="Arial;sans-serif" w:hAnsi="Arial;sans-serif"/>
                <w:b w:val="false"/>
                <w:color w:val="000000"/>
                <w:sz w:val="20"/>
              </w:rPr>
            </w:pPr>
            <w:r>
              <w:rPr>
                <w:rFonts w:ascii="Arial;sans-serif" w:hAnsi="Arial;sans-serif"/>
                <w:b w:val="false"/>
                <w:color w:val="000000"/>
                <w:sz w:val="20"/>
              </w:rPr>
              <w:t xml:space="preserve">Total other income (expense), net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Interest income consisted primarily of interest on our money market funds. Interest expense consisted primarily of interest on our outstanding term debt. The decrease in other income (expense), net in Q2 2026 was primarily due to a comparatively larger gain recognized on our retained GRAIL investment in Q2 2025. The fluctuation in other income (expense), net in YTD 2026 was primarily due to a net loss recognized on our GRAIL investment in YTD 2026, consisting of realized and unrealized activity, compared to a considerable net gain recognized in YTD 2025. </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Provision for Income Taxes</w:t>
      </w:r>
    </w:p>
    <w:tbl>
      <w:tblPr>
        <w:tblW w:w="10451" w:type="dxa"/>
        <w:jc w:val="left"/>
        <w:tblInd w:w="0" w:type="dxa"/>
        <w:tblLayout w:type="fixed"/>
        <w:tblCellMar>
          <w:top w:w="28" w:type="dxa"/>
          <w:left w:w="28" w:type="dxa"/>
          <w:bottom w:w="28" w:type="dxa"/>
          <w:right w:w="28" w:type="dxa"/>
        </w:tblCellMar>
      </w:tblPr>
      <w:tblGrid>
        <w:gridCol w:w="519"/>
        <w:gridCol w:w="205"/>
        <w:gridCol w:w="207"/>
        <w:gridCol w:w="211"/>
        <w:gridCol w:w="481"/>
        <w:gridCol w:w="286"/>
        <w:gridCol w:w="109"/>
        <w:gridCol w:w="109"/>
        <w:gridCol w:w="109"/>
        <w:gridCol w:w="211"/>
        <w:gridCol w:w="481"/>
        <w:gridCol w:w="286"/>
        <w:gridCol w:w="109"/>
        <w:gridCol w:w="109"/>
        <w:gridCol w:w="109"/>
        <w:gridCol w:w="211"/>
        <w:gridCol w:w="401"/>
        <w:gridCol w:w="109"/>
        <w:gridCol w:w="109"/>
        <w:gridCol w:w="109"/>
        <w:gridCol w:w="109"/>
        <w:gridCol w:w="198"/>
        <w:gridCol w:w="198"/>
        <w:gridCol w:w="520"/>
        <w:gridCol w:w="109"/>
        <w:gridCol w:w="109"/>
        <w:gridCol w:w="109"/>
        <w:gridCol w:w="211"/>
        <w:gridCol w:w="481"/>
        <w:gridCol w:w="286"/>
        <w:gridCol w:w="109"/>
        <w:gridCol w:w="109"/>
        <w:gridCol w:w="109"/>
        <w:gridCol w:w="211"/>
        <w:gridCol w:w="481"/>
        <w:gridCol w:w="286"/>
        <w:gridCol w:w="109"/>
        <w:gridCol w:w="109"/>
        <w:gridCol w:w="109"/>
        <w:gridCol w:w="211"/>
        <w:gridCol w:w="401"/>
        <w:gridCol w:w="109"/>
        <w:gridCol w:w="109"/>
        <w:gridCol w:w="109"/>
        <w:gridCol w:w="109"/>
        <w:gridCol w:w="190"/>
        <w:gridCol w:w="190"/>
        <w:gridCol w:w="581"/>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93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20"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417</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2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340</w:t>
            </w:r>
            <w:r>
              <w:rPr>
                <w:color w:val="000000"/>
              </w:rPr>
              <w:t>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28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58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w:t>
            </w:r>
            <w:r>
              <w:rPr>
                <w:color w:val="000000"/>
              </w:rPr>
              <w:t>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w:t>
            </w:r>
            <w:r>
              <w:rPr>
                <w:color w:val="000000"/>
              </w:rPr>
              <w:t>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60" w:after="283"/>
        <w:jc w:val="left"/>
        <w:rPr/>
      </w:pPr>
      <w:r>
        <w:rPr>
          <w:rFonts w:ascii="Arial;sans-serif" w:hAnsi="Arial;sans-serif"/>
          <w:b w:val="false"/>
          <w:color w:val="000000"/>
          <w:sz w:val="20"/>
        </w:rPr>
        <w:t>Our effective tax rate was 20.5% and 18.4%</w:t>
      </w:r>
      <w:r>
        <w:rPr>
          <w:color w:val="000000"/>
        </w:rPr>
        <w:t xml:space="preserve"> </w:t>
      </w:r>
      <w:r>
        <w:rPr>
          <w:rFonts w:ascii="Arial;sans-serif" w:hAnsi="Arial;sans-serif"/>
          <w:b w:val="false"/>
          <w:color w:val="000000"/>
          <w:sz w:val="20"/>
        </w:rPr>
        <w:t xml:space="preserve">in Q2 2026 and YTD 2026, compared to 23.4% and 25.1% in Q2 2025 and YTD 2025, respectively. The variance from the U.S. federal statutory tax rate of 21% for YTD 2026 was primarily due to prior year tax return adjustments. The tax rate in Q2 2026 and YTD 2026 was favorably impacted by the mix of earnings in jurisdictions with lower statutory tax rates than the U.S. federal statutory tax rate, such as in Singapore. </w:t>
      </w:r>
    </w:p>
    <w:p>
      <w:pPr>
        <w:pStyle w:val="TextBody"/>
        <w:bidi w:val="0"/>
        <w:spacing w:lineRule="auto" w:line="268" w:before="260" w:after="283"/>
        <w:jc w:val="left"/>
        <w:rPr>
          <w:rFonts w:ascii="Arial;sans-serif" w:hAnsi="Arial;sans-serif"/>
          <w:b w:val="false"/>
          <w:color w:val="000000"/>
          <w:sz w:val="20"/>
        </w:rPr>
      </w:pPr>
      <w:r>
        <w:rPr>
          <w:rFonts w:ascii="Arial;sans-serif" w:hAnsi="Arial;sans-serif"/>
          <w:b w:val="false"/>
          <w:color w:val="000000"/>
          <w:sz w:val="20"/>
        </w:rPr>
        <w:t>In Q2 2025 and YTD 2025, the variance from the U.S. federal statutory tax rate of 21% was primarily due to the $10 million and $20 million income tax expense impact of capitalizing research and development expenses for tax purposes, respectively. The income tax rate in Q2 2025 and YTD 2025 was favorably impacted by the mix of earnings in jurisdictions with lower statutory tax rates than the U.S. federal statutory tax rate, such as in Singapore.</w:t>
      </w:r>
    </w:p>
    <w:p>
      <w:pPr>
        <w:pStyle w:val="TextBody"/>
        <w:bidi w:val="0"/>
        <w:spacing w:lineRule="auto" w:line="288" w:before="260" w:after="283"/>
        <w:jc w:val="left"/>
        <w:rPr/>
      </w:pPr>
      <w:r>
        <w:rPr>
          <w:rFonts w:ascii="Arial;sans-serif" w:hAnsi="Arial;sans-serif"/>
          <w:b w:val="false"/>
          <w:color w:val="000000"/>
          <w:sz w:val="20"/>
        </w:rPr>
        <w:t xml:space="preserve">Our future effective tax rate may vary from the U.S. federal statutory tax rate due to the mix of earnings in tax jurisdictions with different statutory tax rates and the other factors discussed in the risk factor “We are subject to risks related to taxation in multiple jurisdictions” described in “Risk Factors” within the Business &amp; Market Information section of our Annual Report on Form </w:t>
      </w:r>
      <w:hyperlink r:id="rId11">
        <w:r>
          <w:rPr>
            <w:rStyle w:val="InternetLink"/>
            <w:rFonts w:ascii="Arial;sans-serif" w:hAnsi="Arial;sans-serif"/>
            <w:b w:val="false"/>
            <w:color w:val="0000FF"/>
            <w:sz w:val="20"/>
            <w:u w:val="single"/>
          </w:rPr>
          <w:t>10-K</w:t>
        </w:r>
      </w:hyperlink>
      <w:r>
        <w:rPr>
          <w:color w:val="000000"/>
        </w:rPr>
        <w:t xml:space="preserve"> </w:t>
      </w:r>
      <w:r>
        <w:rPr>
          <w:rFonts w:ascii="Arial;sans-serif" w:hAnsi="Arial;sans-serif"/>
          <w:b w:val="false"/>
          <w:color w:val="000000"/>
          <w:sz w:val="20"/>
        </w:rPr>
        <w:t>for the fiscal year ended December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LIQUIDITY AND CAPITAL RESOURCES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As of June 28, 2026, we had $1,040 million in cash and cash equivalents, of which $435 million was held by foreign subsidiaries. Cash and cash equivalents decreased by $378 million from December 28, 2025 due to factors described in the “Cash Flow Summary” below. Our primary source of liquidity, other than our holdings of cash, cash equivalents, and investments, has been cash flows from operations and, from time to time, issuances of debt. Our ability to generate cash from operations, supplemented with the issuance of debt and/or liquidation of our short-term investments, provides us with the financial flexibility we need to meet operating, investing, and financing needs. In YTD 2026, we received proceeds from sales of our short-term investment in GRAIL of $104 million. As of June 28, 2026, we had $128 million remaining in short-term investments, primarily comprised of marketable equity securities.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On January 30, 2026, we acquired SomaLogic for a total purchase price of $460 million, including cash of $382 million and contingent consideration with an estimated fair value of $81 million, offset by $3 million for the settlement of a preexisting relationship. Under the contingent consideration arrangements, Standard BioTools is eligible to receive up to $75 million in milestone payments, comprised of up to $25 million based on 2025 performance and up to $50 million based on 2026 performance, due upon the achievement of specified revenue targets. In Q2 2026, we paid $25 million for the milestone payment earned for the 2025 performance period. Standard BioTools is also entitled to receive a 2% royalty on revenues generated from sales of SOMAmer-based NGS library preparation kits, paid quarterly for 10 years through January 2036. As of June 28, 2026, the aggregate fair value of our remaining contingent consideration liabilities was $37 million, included in accrued liabilities. On July 27, 2026, we paid $30 million to buyout the remaining obligations that were outstanding as of June 28, 2026.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 xml:space="preserve">In November 2025, we issued $500 million aggregate principal amount of 2030 Term Notes, which mature on December 12, 2030 and accrue interest at a rate of 4.750% per annum, payable semi-annually in June and December of each year. In September 2024, we issued $500 million aggregate principal amount of 2026 Term Notes, which mature on September 9, 2026 and accrue interest at a rate of 4.650% per annum, payable semi-annually in March and September of each year. In December 2022, we issued $500 million aggregate principal amount of 2027 Term Notes, which mature on December 13, 2027 and accrue interest at a rate of 5.750% per annum, payable semi-annually in June and December of each year. In March 2021, we issued $500 million aggregate principal amount of 2031 Term Notes, which mature on March 23, 2031 and accrue interest at a rate of 2.550% per annum, payable semi-annually in March and September of each year. We may redeem for cash all or any portion of the 2026, 2027, 2030, or 2031 Term Notes, at our option, at any time prior to maturity. </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January 2023, we entered into the Revolving Credit Agreement, which provides us with a $750 million senior unsecured five-year revolving credit facility, including a $40 million sublimit for swingline borrowings and a $50 million sublimit for letters of credit. The credit facility matures, and all amounts outstanding become due and payable in full, on January 4, 2028, subject to two one-year extensions at our option, the consent of the extending lenders, and satisfaction of certain other conditions. As of June 28, 2026, there were no outstanding borrowings.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As of June 28, 2026, the fair value of our contingent consideration liability related to GRAIL was $40 million, of which $39 million was included in other long-term liabilities. The contingent value rights entitle the holders to receive future cash payments on a quarterly basis (Covered Revenue Payments) representing a pro rata portion of certain GRAIL-related revenues (Covered Revenues) each year through August 2033. This reflects a 2.5% payment right to the first $1 billion of revenue each year for 12 years. Revenue above $1 billion each year is subject to a 9% contingent payment right during this same period. In YTD 2026, we paid $794,000 in aggregate Covered Revenue Payments related to aggregate Covered Revenues for the period Q4 2025 through Q1 2026 of $84 million.</w:t>
      </w:r>
    </w:p>
    <w:p>
      <w:pPr>
        <w:pStyle w:val="TextBody"/>
        <w:bidi w:val="0"/>
        <w:spacing w:lineRule="auto" w:line="288" w:before="260" w:after="283"/>
        <w:jc w:val="left"/>
        <w:rPr/>
      </w:pPr>
      <w:r>
        <w:rPr>
          <w:rFonts w:ascii="Arial;sans-serif" w:hAnsi="Arial;sans-serif"/>
          <w:b w:val="false"/>
          <w:color w:val="000000"/>
          <w:sz w:val="20"/>
        </w:rPr>
        <w:t>In August 2024, our Board of Directors authorized the 2024 Repurchase Program, which canceled and superseded all prior and available repurchase authorizations, to repurchase up to $1.5 billion of our outstanding common stock. In April 2026, our Board of Directors authorized the 2026 Repurchase Program to repurchase up to $1.5 billion of our outstanding common stock. The 2026 Repurchase Program is in addition to the $1.5 billion previously authorized under the 2024 Repurchase Program. Repurchases under both programs may be completed through open market purchases, pursuant to Rule 10b5-1 or Rule 10b-18, or through an accelerated share repurchase program. As of June 28, 2026, authorizations to repurchase up to approximately $279 million and $1.5 billion</w:t>
      </w:r>
      <w:r>
        <w:rPr>
          <w:color w:val="000000"/>
        </w:rPr>
        <w:t xml:space="preserve"> </w:t>
      </w:r>
      <w:r>
        <w:rPr>
          <w:rFonts w:ascii="Arial;sans-serif" w:hAnsi="Arial;sans-serif"/>
          <w:b w:val="false"/>
          <w:color w:val="000000"/>
          <w:sz w:val="20"/>
        </w:rPr>
        <w:t>of our outstanding common stock remained available under the 2024 and 2026 Repurchase Programs, respectively. We intend to continue to repurchase incremental shares over the course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As of June 28, 2026, we had $3 million, $20 million, and $12 million, respectively, remaining in capital commitments to three investment funds that are callable through December 2027, July 2029, and December 2034, respectively.</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anticipate that our current cash, cash equivalents, and short-term investments, together with cash provided by operating activities and available borrowing capacity under the Revolving Credit Facility, are sufficient to fund our near-term capital and operating needs for at least the next 12 months. Operating needs include the planned costs to operate our business, including amounts required to fund working capital and capital expenditures. Our primary short-term needs for capital, which are subject to change, may include: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support of commercialization efforts related to our current and future products;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acquisitions of equipment and other fixed assets for use in our current and future manufacturing and research and development facilities;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continued advancement of research and development efforts;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potential strategic acquisitions and investments;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repayment of debt obligations;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repurchases of our outstanding common stock;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evolving needs of our facilities, including costs of leasing and building out facilities.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expect that our revenue and results of operations, as well as the status of each of our new product development programs, will significantly impact our cash management decisions. Our future capital requirements and the adequacy of our available funds will depend on many factors, including:</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successfully commercialize and further develop our technologies and create innovative products in our markets;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scientific progress in our research and development programs and the magnitude of those programs;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competing technological and market developments;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need to enter into collaborations with other companies or acquire other companies or technologies to enhance or complement our product and service offerings.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Flow Summary</w:t>
      </w:r>
    </w:p>
    <w:tbl>
      <w:tblPr>
        <w:tblW w:w="7703" w:type="dxa"/>
        <w:jc w:val="left"/>
        <w:tblInd w:w="0" w:type="dxa"/>
        <w:tblLayout w:type="fixed"/>
        <w:tblCellMar>
          <w:top w:w="28" w:type="dxa"/>
          <w:left w:w="28" w:type="dxa"/>
          <w:bottom w:w="28" w:type="dxa"/>
          <w:right w:w="28" w:type="dxa"/>
        </w:tblCellMar>
      </w:tblPr>
      <w:tblGrid>
        <w:gridCol w:w="2026"/>
        <w:gridCol w:w="1776"/>
        <w:gridCol w:w="1807"/>
        <w:gridCol w:w="211"/>
        <w:gridCol w:w="541"/>
        <w:gridCol w:w="109"/>
        <w:gridCol w:w="109"/>
        <w:gridCol w:w="109"/>
        <w:gridCol w:w="109"/>
        <w:gridCol w:w="211"/>
        <w:gridCol w:w="541"/>
        <w:gridCol w:w="154"/>
      </w:tblGrid>
      <w:tr>
        <w:trPr/>
        <w:tc>
          <w:tcPr>
            <w:tcW w:w="2026"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2025</w:t>
            </w:r>
          </w:p>
        </w:tc>
      </w:tr>
      <w:tr>
        <w:trPr/>
        <w:tc>
          <w:tcPr>
            <w:tcW w:w="560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490</w:t>
            </w:r>
            <w:r>
              <w:rPr>
                <w:color w:val="000000"/>
              </w:rPr>
              <w:t> </w:t>
            </w:r>
          </w:p>
        </w:tc>
        <w:tc>
          <w:tcPr>
            <w:tcW w:w="109"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54"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(380)</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w:t>
            </w:r>
          </w:p>
        </w:tc>
        <w:tc>
          <w:tcPr>
            <w:tcW w:w="15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(378)</w:t>
            </w:r>
          </w:p>
        </w:tc>
        <w:tc>
          <w:tcPr>
            <w:tcW w:w="109"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54" w:type="dxa"/>
            <w:tcBorders>
              <w:top w:val="single" w:sz="8" w:space="0" w:color="000000"/>
              <w:bottom w:val="double" w:sz="8"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260" w:after="283"/>
        <w:jc w:val="left"/>
        <w:rPr/>
      </w:pPr>
      <w:r>
        <w:rPr>
          <w:rFonts w:ascii="Arial;sans-serif" w:hAnsi="Arial;sans-serif"/>
          <w:b w:val="false"/>
          <w:color w:val="000000"/>
          <w:sz w:val="20"/>
        </w:rPr>
        <w:t>Net cash provided by operating activities of $490 million in YTD 2026 consisted of net income of $340 million, plus net adjustments of $278 million, less net changes in operating assets and liabilities of $128 million. The primary adjustments to net income included depreciation and amortization expense of $139 million, share-based compensation expense of $133 million, deferred income taxes of $18 million</w:t>
      </w:r>
      <w:r>
        <w:rPr>
          <w:rFonts w:ascii="Times New Roman;serif" w:hAnsi="Times New Roman;serif"/>
          <w:b w:val="false"/>
          <w:color w:val="000000"/>
          <w:sz w:val="20"/>
        </w:rPr>
        <w:t xml:space="preserve">, </w:t>
      </w:r>
      <w:r>
        <w:rPr>
          <w:rFonts w:ascii="Arial;sans-serif" w:hAnsi="Arial;sans-serif"/>
          <w:b w:val="false"/>
          <w:color w:val="000000"/>
          <w:sz w:val="20"/>
        </w:rPr>
        <w:t>and a net loss on investments of $16 million, partially offset by changes in the fair value of contingent consideration liabilities of $32 million. Cash flow impacts from changes in operating assets and liabilities were primarily driven by an increase in other assets, a decrease in other long-term liabilities, an increase in inventory, and a decrease in accrued liabilities, partially offset by a decrease in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Net cash used in investing activities was $488 million in YTD 2026. We paid $417 million for acquisitions and intangible assets, net of cash acquired, invested $78 million in capital expenditures, primarily associated with investments in facilities, and paid $25 million for contingent consideration for the SomaLogic acquisition. We received proceeds from net sales of investments of $32 million, primarily related to sales of our GRAIL investment.</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260" w:after="283"/>
        <w:jc w:val="left"/>
        <w:rPr/>
      </w:pPr>
      <w:r>
        <w:rPr>
          <w:rFonts w:ascii="Arial;sans-serif" w:hAnsi="Arial;sans-serif"/>
          <w:b w:val="false"/>
          <w:color w:val="000000"/>
          <w:sz w:val="20"/>
        </w:rPr>
        <w:t>Net cash used in financing activities was $380 million in YTD 2026. We used $370 million</w:t>
      </w:r>
      <w:r>
        <w:rPr>
          <w:color w:val="000000"/>
        </w:rPr>
        <w:t xml:space="preserve"> </w:t>
      </w:r>
      <w:r>
        <w:rPr>
          <w:rFonts w:ascii="Arial;sans-serif" w:hAnsi="Arial;sans-serif"/>
          <w:b w:val="false"/>
          <w:color w:val="000000"/>
          <w:sz w:val="20"/>
        </w:rPr>
        <w:t>to repurchase our common stock, inclusive of excise taxes paid, and $33 million to pay taxes related to net share settlement of equity awards. We received proceeds from the sale of shares under our employee stock purchase plan of $24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CRITICAL ACCOUNTING POLICIES AND ESTIMATES</w:t>
      </w:r>
    </w:p>
    <w:p>
      <w:pPr>
        <w:pStyle w:val="TextBody"/>
        <w:bidi w:val="0"/>
        <w:spacing w:lineRule="auto" w:line="288" w:before="260" w:after="283"/>
        <w:jc w:val="left"/>
        <w:rPr/>
      </w:pPr>
      <w:r>
        <w:rPr>
          <w:rFonts w:ascii="Arial;sans-serif" w:hAnsi="Arial;sans-serif"/>
          <w:b w:val="false"/>
          <w:color w:val="000000"/>
          <w:sz w:val="20"/>
        </w:rPr>
        <w:t xml:space="preserve">In preparing our condensed consolidated financial statements, we make estimates, assumptions and judgments that can have a significant impact on our net revenue, operating income, and net income, as well as on the value of certain assets and liabilities on our balance sheet. We believe the estimates, assumptions and judgments involved in the accounting policies described in “Critical Accounting Policies and Estimates” within the Management’s Discussion &amp; Analysis section of our Annual Report on Form </w:t>
      </w:r>
      <w:hyperlink r:id="rId12">
        <w:r>
          <w:rPr>
            <w:rStyle w:val="InternetLink"/>
            <w:rFonts w:ascii="Arial;sans-serif" w:hAnsi="Arial;sans-serif"/>
            <w:b w:val="false"/>
            <w:color w:val="0000FF"/>
            <w:sz w:val="20"/>
            <w:u w:val="single"/>
          </w:rPr>
          <w:t>10-K</w:t>
        </w:r>
      </w:hyperlink>
      <w:r>
        <w:rPr>
          <w:color w:val="000000"/>
        </w:rPr>
        <w:t xml:space="preserve"> </w:t>
      </w:r>
      <w:r>
        <w:rPr>
          <w:rFonts w:ascii="Arial;sans-serif" w:hAnsi="Arial;sans-serif"/>
          <w:b w:val="false"/>
          <w:color w:val="000000"/>
          <w:sz w:val="20"/>
        </w:rPr>
        <w:t xml:space="preserve">for the fiscal year ended December 28, 2025 have the greatest potential impact on our financial statements, so we consider them to be our critical accounting policies and estimates. Although tariffs, reductions in the U.S. government’s funding of the NIH, our inclusion on the unreliable entities list by regulatory authorities in China, impacts from armed conflicts, including recent conflict in the Middle East and Iran, and macroeconomic factors, such as inflation, exchange rate fluctuations, supply-chain disruptions, and concerns about an economic downturn continue to create additional uncertainty, we continue to use the best information available to inform our critical accounting estimates. There were no material changes to our critical accounting policies and estimates during YTD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RECENT ACCOUNTING PRONOUNCEMENTS</w:t>
      </w:r>
    </w:p>
    <w:p>
      <w:pPr>
        <w:pStyle w:val="TextBody"/>
        <w:bidi w:val="0"/>
        <w:spacing w:lineRule="auto" w:line="288" w:before="260" w:after="283"/>
        <w:jc w:val="left"/>
        <w:rPr/>
      </w:pPr>
      <w:r>
        <w:rPr>
          <w:rFonts w:ascii="Arial;sans-serif" w:hAnsi="Arial;sans-serif"/>
          <w:b w:val="false"/>
          <w:color w:val="000000"/>
          <w:sz w:val="20"/>
        </w:rPr>
        <w:t xml:space="preserve">For a summary of recent accounting pronouncements applicable to our condensed consolidated financial statements, see note </w:t>
      </w:r>
      <w:hyperlink w:anchor="id13d7d1498ca40b9b8840c98b90cc42c_34">
        <w:r>
          <w:rPr>
            <w:rStyle w:val="InternetLink"/>
            <w:rFonts w:ascii="Arial;sans-serif" w:hAnsi="Arial;sans-serif"/>
            <w:b w:val="false"/>
            <w:color w:val="0000FF"/>
            <w:sz w:val="20"/>
            <w:u w:val="single"/>
          </w:rPr>
          <w:t>1. Organization and Significant Accounting Policies</w:t>
        </w:r>
      </w:hyperlink>
      <w:r>
        <w:rPr>
          <w:color w:val="000000"/>
        </w:rPr>
        <w:t xml:space="preserve"> </w:t>
      </w:r>
      <w:r>
        <w:rPr>
          <w:rFonts w:ascii="Arial;sans-serif" w:hAnsi="Arial;sans-serif"/>
          <w:b w:val="false"/>
          <w:color w:val="000000"/>
          <w:sz w:val="20"/>
        </w:rPr>
        <w:t>within the Condensed Consolidated Financial Statements section of this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QUANTITATIVE AND QUALITATIVE DISCLOSURES ABOUT MARKET RISK</w:t>
      </w:r>
    </w:p>
    <w:p>
      <w:pPr>
        <w:pStyle w:val="TextBody"/>
        <w:bidi w:val="0"/>
        <w:spacing w:lineRule="auto" w:line="288" w:before="260" w:after="283"/>
        <w:jc w:val="left"/>
        <w:rPr/>
      </w:pPr>
      <w:r>
        <w:rPr>
          <w:rFonts w:ascii="Arial;sans-serif" w:hAnsi="Arial;sans-serif"/>
          <w:b w:val="false"/>
          <w:color w:val="000000"/>
          <w:sz w:val="20"/>
        </w:rPr>
        <w:t xml:space="preserve">There were no substantial changes to our market risks in YTD 2026, when compared to the disclosures in “Quantitative and Qualitative Disclosures about Market Risk” within the Management’s Discussion &amp; Analysis section of our Annual Report on Form </w:t>
      </w:r>
      <w:hyperlink r:id="rId13">
        <w:r>
          <w:rPr>
            <w:rStyle w:val="InternetLink"/>
            <w:rFonts w:ascii="Arial;sans-serif" w:hAnsi="Arial;sans-serif"/>
            <w:b w:val="false"/>
            <w:color w:val="0000FF"/>
            <w:sz w:val="20"/>
            <w:u w:val="single"/>
          </w:rPr>
          <w:t>10-K</w:t>
        </w:r>
      </w:hyperlink>
      <w:r>
        <w:rPr>
          <w:color w:val="000000"/>
        </w:rPr>
        <w:t xml:space="preserve"> </w:t>
      </w:r>
      <w:r>
        <w:rPr>
          <w:rFonts w:ascii="Arial;sans-serif" w:hAnsi="Arial;sans-serif"/>
          <w:b w:val="false"/>
          <w:color w:val="000000"/>
          <w:sz w:val="20"/>
        </w:rPr>
        <w:t>for the fiscal year ended December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45" w:type="dxa"/>
        <w:jc w:val="left"/>
        <w:tblInd w:w="0" w:type="dxa"/>
        <w:tblLayout w:type="fixed"/>
        <w:tblCellMar>
          <w:top w:w="28" w:type="dxa"/>
          <w:left w:w="28" w:type="dxa"/>
          <w:bottom w:w="28" w:type="dxa"/>
          <w:right w:w="28" w:type="dxa"/>
        </w:tblCellMar>
      </w:tblPr>
      <w:tblGrid>
        <w:gridCol w:w="1071"/>
        <w:gridCol w:w="942"/>
        <w:gridCol w:w="1332"/>
      </w:tblGrid>
      <w:tr>
        <w:trPr/>
        <w:tc>
          <w:tcPr>
            <w:tcW w:w="107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bottom w:val="single" w:sz="16" w:space="0" w:color="FFB441"/>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666666"/>
                <w:sz w:val="24"/>
              </w:rPr>
            </w:pPr>
            <w:r>
              <w:rPr>
                <w:rFonts w:ascii="Arial;sans-serif" w:hAnsi="Arial;sans-serif"/>
                <w:b/>
                <w:color w:val="666666"/>
                <w:sz w:val="24"/>
              </w:rPr>
              <w:t>OTHER KEY INFORMATION</w:t>
            </w:r>
          </w:p>
        </w:tc>
      </w:tr>
    </w:tbl>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CONTROLS AND PROCEDURES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We design our internal controls to provide reasonable assurance that (1) our transactions are properly authorized; (2) our assets are safeguarded against unauthorized or improper use; and (3) our transactions are properly recorded and reported in conformity with U.S. generally accepted accounting principles. We also maintain internal controls and procedures to ensure that we comply with applicable laws and our established financial policies.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In the third quarter of 2025, we began implementation efforts related to an upgrade of our global enterprise resource planning (ERP) system. The upgraded ERP system is expected to enhance the flow of financial information, facilitate data analysis, and accelerate information reporting. The upgraded ERP system is expected to become operational in the first half of 2027.</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As part of this implementation effort, we may make changes to our processes and procedures which, in turn, could materially affect our internal controls over financial reporting. We will monitor, evaluate, and report the impact of such changes, if any, on our internal controls over financial reporting in the periods in which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During the second quarter of 2026, we continued to monitor and evaluate the design and operating effectiveness of key controls. There were no changes in our internal control over financial reporting (as defined in Rules 13a-15(f) and 15d-15(f) of the Exchange Act) that materially affected or are reasonably likely to materially affect internal control over financial reporting.</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Based on management’s evaluation (under the supervision and with the participation of our chief executive officer (CEO) and chief financial officer (CFO)), as of the end of the period covered by this report, our CEO and CFO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management, including our principal executive officer and principal financial officer,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LEGAL PROCEEDINGS</w:t>
      </w:r>
    </w:p>
    <w:p>
      <w:pPr>
        <w:pStyle w:val="TextBody"/>
        <w:bidi w:val="0"/>
        <w:spacing w:lineRule="auto" w:line="288" w:before="260" w:after="283"/>
        <w:jc w:val="left"/>
        <w:rPr/>
      </w:pPr>
      <w:r>
        <w:rPr>
          <w:rFonts w:ascii="Arial;sans-serif" w:hAnsi="Arial;sans-serif"/>
          <w:b w:val="false"/>
          <w:color w:val="000000"/>
          <w:sz w:val="20"/>
        </w:rPr>
        <w:t xml:space="preserve">See discussion of legal proceedings in note </w:t>
      </w:r>
      <w:hyperlink w:anchor="id13d7d1498ca40b9b8840c98b90cc42c_79">
        <w:r>
          <w:rPr>
            <w:rStyle w:val="InternetLink"/>
            <w:rFonts w:ascii="Arial;sans-serif" w:hAnsi="Arial;sans-serif"/>
            <w:b w:val="false"/>
            <w:color w:val="0000FF"/>
            <w:sz w:val="20"/>
            <w:u w:val="single"/>
          </w:rPr>
          <w:t>8. Legal Proceedings</w:t>
        </w:r>
      </w:hyperlink>
      <w:r>
        <w:rPr>
          <w:color w:val="000000"/>
        </w:rPr>
        <w:t xml:space="preserve"> </w:t>
      </w:r>
      <w:r>
        <w:rPr>
          <w:rFonts w:ascii="Arial;sans-serif" w:hAnsi="Arial;sans-serif"/>
          <w:b w:val="false"/>
          <w:color w:val="000000"/>
          <w:sz w:val="20"/>
        </w:rPr>
        <w:t>in the Condensed Consolidated Financial Statements section of this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RISK FACTORS</w:t>
      </w:r>
    </w:p>
    <w:p>
      <w:pPr>
        <w:pStyle w:val="TextBody"/>
        <w:bidi w:val="0"/>
        <w:spacing w:lineRule="auto" w:line="288" w:before="260" w:after="283"/>
        <w:jc w:val="left"/>
        <w:rPr/>
      </w:pPr>
      <w:r>
        <w:rPr>
          <w:rFonts w:ascii="Arial;sans-serif" w:hAnsi="Arial;sans-serif"/>
          <w:b w:val="false"/>
          <w:color w:val="000000"/>
          <w:sz w:val="20"/>
        </w:rPr>
        <w:t xml:space="preserve">Our business is subject to various risks, including those described in “Risk Factors” within the Business &amp; Market Information section of our Annual Report on Form </w:t>
      </w:r>
      <w:hyperlink r:id="rId14">
        <w:r>
          <w:rPr>
            <w:rStyle w:val="InternetLink"/>
            <w:rFonts w:ascii="Arial;sans-serif" w:hAnsi="Arial;sans-serif"/>
            <w:b w:val="false"/>
            <w:color w:val="0000FF"/>
            <w:sz w:val="20"/>
            <w:u w:val="single"/>
          </w:rPr>
          <w:t>10-K</w:t>
        </w:r>
      </w:hyperlink>
      <w:r>
        <w:rPr>
          <w:color w:val="000000"/>
        </w:rPr>
        <w:t xml:space="preserve"> </w:t>
      </w:r>
      <w:r>
        <w:rPr>
          <w:rFonts w:ascii="Arial;sans-serif" w:hAnsi="Arial;sans-serif"/>
          <w:b w:val="false"/>
          <w:color w:val="000000"/>
          <w:sz w:val="20"/>
        </w:rPr>
        <w:t xml:space="preserve">for the fiscal year ended December 28, 2025, and the “Other Key Information” section of our Quarterly Report on Form </w:t>
      </w:r>
      <w:hyperlink r:id="rId15">
        <w:r>
          <w:rPr>
            <w:rStyle w:val="InternetLink"/>
            <w:rFonts w:ascii="Arial;sans-serif" w:hAnsi="Arial;sans-serif"/>
            <w:b w:val="false"/>
            <w:color w:val="0000FF"/>
            <w:sz w:val="20"/>
            <w:u w:val="single"/>
          </w:rPr>
          <w:t>10-Q</w:t>
        </w:r>
      </w:hyperlink>
      <w:r>
        <w:rPr>
          <w:color w:val="000000"/>
        </w:rPr>
        <w:t xml:space="preserve"> </w:t>
      </w:r>
      <w:r>
        <w:rPr>
          <w:rFonts w:ascii="Arial;sans-serif" w:hAnsi="Arial;sans-serif"/>
          <w:b w:val="false"/>
          <w:color w:val="000000"/>
          <w:sz w:val="20"/>
        </w:rPr>
        <w:t>for the period ended March 29, 2026, which we strongly encourage you to review.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SHARE REPURCHASES AND SALES</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Purchases of Equity Securities by the Issuer</w:t>
      </w:r>
    </w:p>
    <w:p>
      <w:pPr>
        <w:pStyle w:val="TextBody"/>
        <w:bidi w:val="0"/>
        <w:spacing w:lineRule="auto" w:line="288" w:before="260" w:after="260"/>
        <w:jc w:val="left"/>
        <w:rPr>
          <w:rFonts w:ascii="Arial;sans-serif" w:hAnsi="Arial;sans-serif"/>
          <w:b w:val="false"/>
          <w:color w:val="000000"/>
          <w:sz w:val="20"/>
        </w:rPr>
      </w:pPr>
      <w:r>
        <w:rPr>
          <w:rFonts w:ascii="Arial;sans-serif" w:hAnsi="Arial;sans-serif"/>
          <w:b w:val="false"/>
          <w:color w:val="000000"/>
          <w:sz w:val="20"/>
        </w:rPr>
        <w:t xml:space="preserve">In August 2024, our Board of Directors authorized the 2024 Repurchase Program, which canceled and superseded all prior and available repurchase authorizations, to repurchase up to $1.5 billion of our outstanding common stock. In April 2026, our Board of Directors authorized the 2026 Repurchase Program to repurchase up to $1.5 billion of our outstanding common stock. The 2026 Repurchase Program is in addition to the $1.5 billion previously authorized under the 2024 Repurchase Program. Repurchases under both programs may be completed through open market purchases, pursuant to Rule 10b5-1 or Rule 10b-18, or through an accelerated share repurchase program. We did not repurchase any shares under the 2026 Repurchase Program. Shares repurchased in open market transactions pursuant to the 2024 Repurchase Program during Q2 2026 were as detailed below. </w:t>
      </w:r>
    </w:p>
    <w:tbl>
      <w:tblPr>
        <w:tblW w:w="10205" w:type="dxa"/>
        <w:jc w:val="left"/>
        <w:tblInd w:w="0" w:type="dxa"/>
        <w:tblLayout w:type="fixed"/>
        <w:tblCellMar>
          <w:top w:w="28" w:type="dxa"/>
          <w:left w:w="28" w:type="dxa"/>
          <w:bottom w:w="28" w:type="dxa"/>
          <w:right w:w="28" w:type="dxa"/>
        </w:tblCellMar>
      </w:tblPr>
      <w:tblGrid>
        <w:gridCol w:w="894"/>
        <w:gridCol w:w="786"/>
        <w:gridCol w:w="791"/>
        <w:gridCol w:w="390"/>
        <w:gridCol w:w="390"/>
        <w:gridCol w:w="392"/>
        <w:gridCol w:w="109"/>
        <w:gridCol w:w="109"/>
        <w:gridCol w:w="109"/>
        <w:gridCol w:w="264"/>
        <w:gridCol w:w="942"/>
        <w:gridCol w:w="136"/>
        <w:gridCol w:w="109"/>
        <w:gridCol w:w="109"/>
        <w:gridCol w:w="109"/>
        <w:gridCol w:w="870"/>
        <w:gridCol w:w="870"/>
        <w:gridCol w:w="873"/>
        <w:gridCol w:w="109"/>
        <w:gridCol w:w="109"/>
        <w:gridCol w:w="109"/>
        <w:gridCol w:w="246"/>
        <w:gridCol w:w="1195"/>
        <w:gridCol w:w="185"/>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price per share</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br/>
              <w:br/>
              <w:t xml:space="preserve">Total Number </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 Price</w:t>
            </w:r>
          </w:p>
          <w:p>
            <w:pPr>
              <w:pStyle w:val="TableContents"/>
              <w:bidi w:val="0"/>
              <w:spacing w:lineRule="auto" w:line="240" w:before="0" w:after="0"/>
              <w:jc w:val="center"/>
              <w:rPr/>
            </w:pPr>
            <w:r>
              <w:rPr>
                <w:rFonts w:ascii="Arial;sans-serif" w:hAnsi="Arial;sans-serif"/>
                <w:b/>
                <w:color w:val="000000"/>
                <w:sz w:val="16"/>
              </w:rPr>
              <w:t xml:space="preserve">Paid per Share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 Purchased as Part of Publicly</w:t>
              <w:br/>
              <w:t>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Approximate Dollar</w:t>
              <w:br/>
              <w:t>Value of Shares</w:t>
              <w:br/>
              <w:t>that May Yet Be</w:t>
              <w:br/>
              <w:t>Purchased Under</w:t>
              <w:br/>
              <w:t>the Programs</w:t>
            </w:r>
          </w:p>
        </w:tc>
      </w:tr>
      <w:tr>
        <w:trPr/>
        <w:tc>
          <w:tcPr>
            <w:tcW w:w="2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4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30, 2026 - April 26, 2026</w:t>
            </w:r>
          </w:p>
        </w:tc>
        <w:tc>
          <w:tcPr>
            <w:tcW w:w="780"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392"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125.06 </w:t>
            </w:r>
          </w:p>
        </w:tc>
        <w:tc>
          <w:tcPr>
            <w:tcW w:w="136"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873"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5" w:type="dxa"/>
            <w:tcBorders>
              <w:top w:val="single" w:sz="8" w:space="0" w:color="000000"/>
            </w:tcBorders>
            <w:shd w:fill="DDDDDD"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331,414 </w:t>
            </w:r>
          </w:p>
        </w:tc>
        <w:tc>
          <w:tcPr>
            <w:tcW w:w="185" w:type="dxa"/>
            <w:tcBorders>
              <w:top w:val="single" w:sz="8"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27, 2026 - May 24, 2026</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1,783,430 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25, 2026 - June 28, 2026</w:t>
            </w:r>
          </w:p>
        </w:tc>
        <w:tc>
          <w:tcPr>
            <w:tcW w:w="78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9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145.22 </w:t>
            </w:r>
          </w:p>
        </w:tc>
        <w:tc>
          <w:tcPr>
            <w:tcW w:w="13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87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5"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1,778,704 </w:t>
            </w:r>
          </w:p>
        </w:tc>
        <w:tc>
          <w:tcPr>
            <w:tcW w:w="18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4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8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1,778,704 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w:t>
      </w:r>
    </w:p>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Average price paid per share excludes the excise tax on share repurchases imposed as part of the Inflation Reduction Act of 2022. </w:t>
      </w:r>
    </w:p>
    <w:p>
      <w:pPr>
        <w:pStyle w:val="TextBody"/>
        <w:bidi w:val="0"/>
        <w:spacing w:lineRule="auto" w:line="288" w:before="260" w:after="283"/>
        <w:jc w:val="left"/>
        <w:rPr>
          <w:rFonts w:ascii="Arial;sans-serif" w:hAnsi="Arial;sans-serif"/>
          <w:b/>
          <w:color w:val="000000"/>
          <w:sz w:val="20"/>
        </w:rPr>
      </w:pPr>
      <w:r>
        <w:rPr>
          <w:rFonts w:ascii="Arial;sans-serif" w:hAnsi="Arial;sans-serif"/>
          <w:b/>
          <w:color w:val="000000"/>
          <w:sz w:val="20"/>
        </w:rPr>
        <w:t>Unregistered Sales of Equity Securities</w:t>
      </w:r>
    </w:p>
    <w:p>
      <w:pPr>
        <w:pStyle w:val="TextBody"/>
        <w:bidi w:val="0"/>
        <w:spacing w:lineRule="auto" w:line="288" w:before="260" w:after="283"/>
        <w:jc w:val="left"/>
        <w:rPr>
          <w:rFonts w:ascii="Arial;sans-serif" w:hAnsi="Arial;sans-serif"/>
          <w:b w:val="false"/>
          <w:color w:val="000000"/>
          <w:sz w:val="20"/>
        </w:rPr>
      </w:pPr>
      <w:r>
        <w:rPr>
          <w:rFonts w:ascii="Arial;sans-serif" w:hAnsi="Arial;sans-serif"/>
          <w:b w:val="false"/>
          <w:color w:val="000000"/>
          <w:sz w:val="20"/>
        </w:rPr>
        <w:t>None during the quarterly period ended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260" w:after="283"/>
        <w:jc w:val="left"/>
        <w:rPr>
          <w:rFonts w:ascii="Arial;sans-serif" w:hAnsi="Arial;sans-serif"/>
          <w:b/>
          <w:color w:val="000000"/>
          <w:sz w:val="22"/>
        </w:rPr>
      </w:pPr>
      <w:r>
        <w:rPr>
          <w:rFonts w:ascii="Arial;sans-serif" w:hAnsi="Arial;sans-serif"/>
          <w:b/>
          <w:color w:val="000000"/>
          <w:sz w:val="22"/>
        </w:rPr>
        <w:t>ADOPTIONS, MODIFICATIONS OR TERMINATIONS OF TRADING PLANS</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During the quarterly period ended June 28, 2026, the following directors or officers adopted, modified, or terminated 10b5-1 plans: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On May 19, 2026, Jakob Wedel, our Chief Strategy and Corporate Development Officer, entered into a new arrangement intended to satisfy the affirmative defense conditions of Rule 10b5-1(c). The arrangement terminates on May 31, 2028 and provides for the sale of up to 24,553 shares.</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 xml:space="preserve">Other than as disclosed above, during the quarterly period ended June 28, 2026, none of the Company’s directors or officers adopted, modified, or terminated any “Rule 10b5-1 trading arrangement” or any “non-Rule 10b5-1 trading arrangement,” in each case as such term is defined in Item 408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EXHIBITS</w:t>
      </w:r>
    </w:p>
    <w:tbl>
      <w:tblPr>
        <w:tblW w:w="10205" w:type="dxa"/>
        <w:jc w:val="left"/>
        <w:tblInd w:w="0" w:type="dxa"/>
        <w:tblLayout w:type="fixed"/>
        <w:tblCellMar>
          <w:top w:w="28" w:type="dxa"/>
          <w:left w:w="28" w:type="dxa"/>
          <w:bottom w:w="28" w:type="dxa"/>
          <w:right w:w="28" w:type="dxa"/>
        </w:tblCellMar>
      </w:tblPr>
      <w:tblGrid>
        <w:gridCol w:w="489"/>
        <w:gridCol w:w="430"/>
        <w:gridCol w:w="432"/>
        <w:gridCol w:w="109"/>
        <w:gridCol w:w="109"/>
        <w:gridCol w:w="109"/>
        <w:gridCol w:w="1161"/>
        <w:gridCol w:w="1161"/>
        <w:gridCol w:w="1065"/>
        <w:gridCol w:w="109"/>
        <w:gridCol w:w="109"/>
        <w:gridCol w:w="109"/>
        <w:gridCol w:w="175"/>
        <w:gridCol w:w="175"/>
        <w:gridCol w:w="176"/>
        <w:gridCol w:w="109"/>
        <w:gridCol w:w="109"/>
        <w:gridCol w:w="109"/>
        <w:gridCol w:w="260"/>
        <w:gridCol w:w="260"/>
        <w:gridCol w:w="261"/>
        <w:gridCol w:w="109"/>
        <w:gridCol w:w="109"/>
        <w:gridCol w:w="109"/>
        <w:gridCol w:w="220"/>
        <w:gridCol w:w="220"/>
        <w:gridCol w:w="221"/>
        <w:gridCol w:w="109"/>
        <w:gridCol w:w="109"/>
        <w:gridCol w:w="109"/>
        <w:gridCol w:w="204"/>
        <w:gridCol w:w="204"/>
        <w:gridCol w:w="205"/>
        <w:gridCol w:w="109"/>
        <w:gridCol w:w="109"/>
        <w:gridCol w:w="109"/>
        <w:gridCol w:w="268"/>
        <w:gridCol w:w="268"/>
        <w:gridCol w:w="388"/>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311.htm">
              <w:r>
                <w:rPr>
                  <w:rStyle w:val="InternetLink"/>
                  <w:rFonts w:ascii="Arial;sans-serif" w:hAnsi="Arial;sans-serif"/>
                  <w:b w:val="false"/>
                  <w:color w:val="070DFF"/>
                  <w:sz w:val="20"/>
                  <w:u w:val="single"/>
                </w:rPr>
                <w:t>Certification of Jacob Thaysen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312.htm">
              <w:r>
                <w:rPr>
                  <w:rStyle w:val="InternetLink"/>
                  <w:rFonts w:ascii="Arial;sans-serif" w:hAnsi="Arial;sans-serif"/>
                  <w:b w:val="false"/>
                  <w:color w:val="070DFF"/>
                  <w:sz w:val="20"/>
                  <w:u w:val="single"/>
                </w:rPr>
                <w:t>Certification of Ankur Dhingra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321.htm">
              <w:r>
                <w:rPr>
                  <w:rStyle w:val="InternetLink"/>
                  <w:rFonts w:ascii="Arial;sans-serif" w:hAnsi="Arial;sans-serif"/>
                  <w:b w:val="false"/>
                  <w:color w:val="070DFF"/>
                  <w:sz w:val="20"/>
                  <w:u w:val="single"/>
                </w:rPr>
                <w:t>Certification of Jacob Thaysen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322.htm">
              <w:r>
                <w:rPr>
                  <w:rStyle w:val="InternetLink"/>
                  <w:rFonts w:ascii="Arial;sans-serif" w:hAnsi="Arial;sans-serif"/>
                  <w:b w:val="false"/>
                  <w:color w:val="070DFF"/>
                  <w:sz w:val="20"/>
                  <w:u w:val="single"/>
                </w:rPr>
                <w:t>Certification of Ankur Dhingra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formatted in Inline XBRL and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r>
    </w:tbl>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__________________________________</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Management contract or corporate plan or arrangement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Portions of this exhibit omitted pursuant to Item 601(a)(5), Item 601(b)(2) or Item 601(b)(10) of Regulation S-K, as applicable. The Company agrees to furnish a supplemental and unredacted copy of any omitted schedule to the Securities and Exchange Commission upon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80" w:after="283"/>
        <w:jc w:val="left"/>
        <w:rPr>
          <w:rFonts w:ascii="Arial;sans-serif" w:hAnsi="Arial;sans-serif"/>
          <w:b/>
          <w:color w:val="000000"/>
          <w:sz w:val="22"/>
        </w:rPr>
      </w:pPr>
      <w:r>
        <w:rPr>
          <w:rFonts w:ascii="Arial;sans-serif" w:hAnsi="Arial;sans-serif"/>
          <w:b/>
          <w:color w:val="000000"/>
          <w:sz w:val="22"/>
        </w:rPr>
        <w:t>FORM 10-Q CROSS-REFERENCE INDEX</w:t>
      </w:r>
    </w:p>
    <w:tbl>
      <w:tblPr>
        <w:tblW w:w="9944" w:type="dxa"/>
        <w:jc w:val="left"/>
        <w:tblInd w:w="0" w:type="dxa"/>
        <w:tblLayout w:type="fixed"/>
        <w:tblCellMar>
          <w:top w:w="28" w:type="dxa"/>
          <w:left w:w="28" w:type="dxa"/>
          <w:bottom w:w="28" w:type="dxa"/>
          <w:right w:w="28" w:type="dxa"/>
        </w:tblCellMar>
      </w:tblPr>
      <w:tblGrid>
        <w:gridCol w:w="3090"/>
        <w:gridCol w:w="2716"/>
        <w:gridCol w:w="2728"/>
        <w:gridCol w:w="412"/>
        <w:gridCol w:w="412"/>
        <w:gridCol w:w="586"/>
      </w:tblGrid>
      <w:tr>
        <w:trPr/>
        <w:tc>
          <w:tcPr>
            <w:tcW w:w="3090"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8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 FINANCIAL INFORMATION</w:t>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3">
              <w:r>
                <w:rPr>
                  <w:rStyle w:val="InternetLink"/>
                  <w:rFonts w:ascii="Arial;sans-serif" w:hAnsi="Arial;sans-serif"/>
                  <w:b w:val="false"/>
                  <w:color w:val="070DFF"/>
                  <w:sz w:val="20"/>
                  <w:u w:val="single"/>
                </w:rPr>
                <w:t>Item 1. Financial Statements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3">
              <w:r>
                <w:rPr>
                  <w:rStyle w:val="InternetLink"/>
                  <w:rFonts w:ascii="Arial;sans-serif" w:hAnsi="Arial;sans-serif"/>
                  <w:b w:val="false"/>
                  <w:color w:val="070DFF"/>
                  <w:sz w:val="20"/>
                  <w:u w:val="single"/>
                </w:rPr>
                <w:t>5</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6">
              <w:r>
                <w:rPr>
                  <w:rStyle w:val="InternetLink"/>
                  <w:rFonts w:ascii="Arial;sans-serif" w:hAnsi="Arial;sans-serif"/>
                  <w:b w:val="false"/>
                  <w:color w:val="070DFF"/>
                  <w:sz w:val="20"/>
                  <w:u w:val="single"/>
                </w:rPr>
                <w:t>Condensed Consolidated Balance Sheets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6">
              <w:r>
                <w:rPr>
                  <w:rStyle w:val="InternetLink"/>
                  <w:rFonts w:ascii="Arial;sans-serif" w:hAnsi="Arial;sans-serif"/>
                  <w:b w:val="false"/>
                  <w:color w:val="070DFF"/>
                  <w:sz w:val="20"/>
                  <w:u w:val="single"/>
                </w:rPr>
                <w:t>5</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9">
              <w:r>
                <w:rPr>
                  <w:rStyle w:val="InternetLink"/>
                  <w:rFonts w:ascii="Arial;sans-serif" w:hAnsi="Arial;sans-serif"/>
                  <w:b w:val="false"/>
                  <w:color w:val="070DFF"/>
                  <w:sz w:val="20"/>
                  <w:u w:val="single"/>
                </w:rPr>
                <w:t>Condensed Consolidated Statements of Operations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9">
              <w:r>
                <w:rPr>
                  <w:rStyle w:val="InternetLink"/>
                  <w:rFonts w:ascii="Arial;sans-serif" w:hAnsi="Arial;sans-serif"/>
                  <w:b w:val="false"/>
                  <w:color w:val="070DFF"/>
                  <w:sz w:val="20"/>
                  <w:u w:val="single"/>
                </w:rPr>
                <w:t>6</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22">
              <w:r>
                <w:rPr>
                  <w:rStyle w:val="InternetLink"/>
                  <w:rFonts w:ascii="Arial;sans-serif" w:hAnsi="Arial;sans-serif"/>
                  <w:b w:val="false"/>
                  <w:color w:val="070DFF"/>
                  <w:sz w:val="20"/>
                  <w:u w:val="single"/>
                </w:rPr>
                <w:t>Condensed Consolidated Statements of Comprehensive Income</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22">
              <w:r>
                <w:rPr>
                  <w:rStyle w:val="InternetLink"/>
                  <w:rFonts w:ascii="Arial;sans-serif" w:hAnsi="Arial;sans-serif"/>
                  <w:b w:val="false"/>
                  <w:color w:val="070DFF"/>
                  <w:sz w:val="20"/>
                  <w:u w:val="single"/>
                </w:rPr>
                <w:t>7</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25">
              <w:r>
                <w:rPr>
                  <w:rStyle w:val="InternetLink"/>
                  <w:rFonts w:ascii="Arial;sans-serif" w:hAnsi="Arial;sans-serif"/>
                  <w:b w:val="false"/>
                  <w:color w:val="000080"/>
                  <w:sz w:val="20"/>
                  <w:u w:val="single"/>
                </w:rPr>
                <w:t>Condensed Consolidated Statement</w:t>
              </w:r>
            </w:hyperlink>
            <w:hyperlink w:anchor="id13d7d1498ca40b9b8840c98b90cc42c_25">
              <w:r>
                <w:rPr>
                  <w:rStyle w:val="InternetLink"/>
                  <w:rFonts w:ascii="Arial;sans-serif" w:hAnsi="Arial;sans-serif"/>
                  <w:b w:val="false"/>
                  <w:color w:val="000080"/>
                  <w:sz w:val="20"/>
                  <w:u w:val="single"/>
                </w:rPr>
                <w:t>s</w:t>
              </w:r>
            </w:hyperlink>
            <w:hyperlink w:anchor="id13d7d1498ca40b9b8840c98b90cc42c_25">
              <w:r>
                <w:rPr>
                  <w:rStyle w:val="InternetLink"/>
                  <w:rFonts w:ascii="Arial;sans-serif" w:hAnsi="Arial;sans-serif"/>
                  <w:b w:val="false"/>
                  <w:color w:val="000080"/>
                  <w:sz w:val="20"/>
                  <w:u w:val="single"/>
                </w:rPr>
                <w:t xml:space="preserve"> of Stockholders’ Equity</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25">
              <w:r>
                <w:rPr>
                  <w:rStyle w:val="InternetLink"/>
                  <w:rFonts w:ascii="Arial;sans-serif" w:hAnsi="Arial;sans-serif"/>
                  <w:b w:val="false"/>
                  <w:color w:val="070DFF"/>
                  <w:sz w:val="20"/>
                  <w:u w:val="single"/>
                </w:rPr>
                <w:t>8</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28">
              <w:r>
                <w:rPr>
                  <w:rStyle w:val="InternetLink"/>
                  <w:rFonts w:ascii="Arial;sans-serif" w:hAnsi="Arial;sans-serif"/>
                  <w:b w:val="false"/>
                  <w:color w:val="070DFF"/>
                  <w:sz w:val="20"/>
                  <w:u w:val="single"/>
                </w:rPr>
                <w:t>Condensed Consolidated Statements of Cash Flows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28">
              <w:r>
                <w:rPr>
                  <w:rStyle w:val="InternetLink"/>
                  <w:rFonts w:ascii="Arial;sans-serif" w:hAnsi="Arial;sans-serif"/>
                  <w:b w:val="false"/>
                  <w:color w:val="070DFF"/>
                  <w:sz w:val="20"/>
                  <w:u w:val="single"/>
                </w:rPr>
                <w:t>10</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31">
              <w:r>
                <w:rPr>
                  <w:rStyle w:val="InternetLink"/>
                  <w:rFonts w:ascii="Arial;sans-serif" w:hAnsi="Arial;sans-serif"/>
                  <w:b w:val="false"/>
                  <w:color w:val="070DFF"/>
                  <w:sz w:val="20"/>
                  <w:u w:val="single"/>
                </w:rPr>
                <w:t>Notes to Condensed Consolidated Financial Statements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31">
              <w:r>
                <w:rPr>
                  <w:rStyle w:val="InternetLink"/>
                  <w:rFonts w:ascii="Arial;sans-serif" w:hAnsi="Arial;sans-serif"/>
                  <w:b w:val="false"/>
                  <w:color w:val="070DFF"/>
                  <w:sz w:val="20"/>
                  <w:u w:val="single"/>
                </w:rPr>
                <w:t>11</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00">
              <w:r>
                <w:rPr>
                  <w:rStyle w:val="InternetLink"/>
                  <w:rFonts w:ascii="Arial;sans-serif" w:hAnsi="Arial;sans-serif"/>
                  <w:b w:val="false"/>
                  <w:color w:val="070DFF"/>
                  <w:sz w:val="20"/>
                  <w:u w:val="single"/>
                </w:rPr>
                <w:t>Item 2. Management’s Discussion and Analysis of Financial Condition and Results of Operations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00">
              <w:r>
                <w:rPr>
                  <w:rStyle w:val="InternetLink"/>
                  <w:rFonts w:ascii="Arial;sans-serif" w:hAnsi="Arial;sans-serif"/>
                  <w:b w:val="false"/>
                  <w:color w:val="070DFF"/>
                  <w:sz w:val="20"/>
                  <w:u w:val="single"/>
                </w:rPr>
                <w:t>30</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24">
              <w:r>
                <w:rPr>
                  <w:rStyle w:val="InternetLink"/>
                  <w:rFonts w:ascii="Arial;sans-serif" w:hAnsi="Arial;sans-serif"/>
                  <w:b w:val="false"/>
                  <w:color w:val="070DFF"/>
                  <w:sz w:val="20"/>
                  <w:u w:val="single"/>
                </w:rPr>
                <w:t>Item 3. Quantitative and Qualitative Disclosures About Market Risk</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24">
              <w:r>
                <w:rPr>
                  <w:rStyle w:val="InternetLink"/>
                  <w:rFonts w:ascii="Arial;sans-serif" w:hAnsi="Arial;sans-serif"/>
                  <w:b w:val="false"/>
                  <w:color w:val="070DFF"/>
                  <w:sz w:val="20"/>
                  <w:u w:val="single"/>
                </w:rPr>
                <w:t>37</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27">
              <w:r>
                <w:rPr>
                  <w:rStyle w:val="InternetLink"/>
                  <w:rFonts w:ascii="Arial;sans-serif" w:hAnsi="Arial;sans-serif"/>
                  <w:b w:val="false"/>
                  <w:color w:val="070DFF"/>
                  <w:sz w:val="20"/>
                  <w:u w:val="single"/>
                </w:rPr>
                <w:t>Item 4. Controls and Procedures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27">
              <w:r>
                <w:rPr>
                  <w:rStyle w:val="InternetLink"/>
                  <w:rFonts w:ascii="Arial;sans-serif" w:hAnsi="Arial;sans-serif"/>
                  <w:b w:val="false"/>
                  <w:color w:val="070DFF"/>
                  <w:sz w:val="20"/>
                  <w:u w:val="single"/>
                </w:rPr>
                <w:t>37</w:t>
              </w:r>
            </w:hyperlink>
          </w:p>
        </w:tc>
      </w:tr>
      <w:tr>
        <w:trPr/>
        <w:tc>
          <w:tcPr>
            <w:tcW w:w="8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 OTHER INFORMATION</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30">
              <w:r>
                <w:rPr>
                  <w:rStyle w:val="InternetLink"/>
                  <w:rFonts w:ascii="Arial;sans-serif" w:hAnsi="Arial;sans-serif"/>
                  <w:b w:val="false"/>
                  <w:color w:val="070DFF"/>
                  <w:sz w:val="20"/>
                  <w:u w:val="single"/>
                </w:rPr>
                <w:t>Item 1. Legal Proceedings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30">
              <w:r>
                <w:rPr>
                  <w:rStyle w:val="InternetLink"/>
                  <w:rFonts w:ascii="Arial;sans-serif" w:hAnsi="Arial;sans-serif"/>
                  <w:b w:val="false"/>
                  <w:color w:val="070DFF"/>
                  <w:sz w:val="20"/>
                  <w:u w:val="single"/>
                </w:rPr>
                <w:t>38</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33">
              <w:r>
                <w:rPr>
                  <w:rStyle w:val="InternetLink"/>
                  <w:rFonts w:ascii="Arial;sans-serif" w:hAnsi="Arial;sans-serif"/>
                  <w:b w:val="false"/>
                  <w:color w:val="070DFF"/>
                  <w:sz w:val="20"/>
                  <w:u w:val="single"/>
                </w:rPr>
                <w:t>Item 1A. Risk Factors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33">
              <w:r>
                <w:rPr>
                  <w:rStyle w:val="InternetLink"/>
                  <w:rFonts w:ascii="Arial;sans-serif" w:hAnsi="Arial;sans-serif"/>
                  <w:b w:val="false"/>
                  <w:color w:val="070DFF"/>
                  <w:sz w:val="20"/>
                  <w:u w:val="single"/>
                </w:rPr>
                <w:t>38</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36">
              <w:r>
                <w:rPr>
                  <w:rStyle w:val="InternetLink"/>
                  <w:rFonts w:ascii="Arial;sans-serif" w:hAnsi="Arial;sans-serif"/>
                  <w:b w:val="false"/>
                  <w:color w:val="070DFF"/>
                  <w:sz w:val="20"/>
                  <w:u w:val="single"/>
                </w:rPr>
                <w:t>Item 2. Unregistered Sales of Equity Securities and Use of Proceeds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36">
              <w:r>
                <w:rPr>
                  <w:rStyle w:val="InternetLink"/>
                  <w:rFonts w:ascii="Arial;sans-serif" w:hAnsi="Arial;sans-serif"/>
                  <w:b w:val="false"/>
                  <w:color w:val="070DFF"/>
                  <w:sz w:val="20"/>
                  <w:u w:val="single"/>
                </w:rPr>
                <w:t>38</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 Defaults Upon Senior Securities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None</w:t>
            </w:r>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 Mine Safety Disclosures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Not Applicable</w:t>
            </w:r>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39">
              <w:r>
                <w:rPr>
                  <w:rStyle w:val="InternetLink"/>
                  <w:rFonts w:ascii="Arial;sans-serif" w:hAnsi="Arial;sans-serif"/>
                  <w:b w:val="false"/>
                  <w:color w:val="0000FF"/>
                  <w:sz w:val="20"/>
                  <w:u w:val="single"/>
                </w:rPr>
                <w:t>Item 5. Other Information</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39">
              <w:r>
                <w:rPr>
                  <w:rStyle w:val="InternetLink"/>
                  <w:rFonts w:ascii="Arial;sans-serif" w:hAnsi="Arial;sans-serif"/>
                  <w:b w:val="false"/>
                  <w:color w:val="070DFF"/>
                  <w:sz w:val="20"/>
                  <w:u w:val="single"/>
                </w:rPr>
                <w:t>39</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45">
              <w:r>
                <w:rPr>
                  <w:rStyle w:val="InternetLink"/>
                  <w:rFonts w:ascii="Arial;sans-serif" w:hAnsi="Arial;sans-serif"/>
                  <w:b w:val="false"/>
                  <w:color w:val="070DFF"/>
                  <w:sz w:val="20"/>
                  <w:u w:val="single"/>
                </w:rPr>
                <w:t>Item 6. Exhibits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45">
              <w:r>
                <w:rPr>
                  <w:rStyle w:val="InternetLink"/>
                  <w:rFonts w:ascii="Arial;sans-serif" w:hAnsi="Arial;sans-serif"/>
                  <w:b w:val="false"/>
                  <w:color w:val="070DFF"/>
                  <w:sz w:val="20"/>
                  <w:u w:val="single"/>
                </w:rPr>
                <w:t>39</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3d7d1498ca40b9b8840c98b90cc42c_151">
              <w:r>
                <w:rPr>
                  <w:rStyle w:val="InternetLink"/>
                  <w:rFonts w:ascii="Arial;sans-serif" w:hAnsi="Arial;sans-serif"/>
                  <w:b w:val="false"/>
                  <w:color w:val="070DFF"/>
                  <w:sz w:val="20"/>
                  <w:u w:val="single"/>
                </w:rPr>
                <w:t>Signatures</w:t>
              </w:r>
            </w:hyperlink>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3d7d1498ca40b9b8840c98b90cc42c_151">
              <w:r>
                <w:rPr>
                  <w:rStyle w:val="InternetLink"/>
                  <w:rFonts w:ascii="Arial;sans-serif" w:hAnsi="Arial;sans-serif"/>
                  <w:b w:val="false"/>
                  <w:color w:val="070D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13d7d1498ca40b9b8840c98b90cc42c_7">
        <w:r>
          <w:rPr>
            <w:rStyle w:val="InternetLink"/>
            <w:rFonts w:ascii="Arial;sans-serif" w:hAnsi="Arial;sans-serif"/>
            <w:b w:val="false"/>
            <w:color w:val="1D46FF"/>
            <w:sz w:val="18"/>
            <w:u w:val="single"/>
          </w:rPr>
          <w:t>Table of Contents</w:t>
        </w:r>
      </w:hyperlink>
    </w:p>
    <w:p>
      <w:pPr>
        <w:pStyle w:val="TextBody"/>
        <w:bidi w:val="0"/>
        <w:spacing w:before="20" w:after="283"/>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674"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243"/>
        <w:gridCol w:w="243"/>
        <w:gridCol w:w="243"/>
        <w:gridCol w:w="608"/>
        <w:gridCol w:w="608"/>
        <w:gridCol w:w="86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8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ILLUMINA, INC.</w:t>
              <w:b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2026</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ANKUR DHINGRA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Ankur Dhingra</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OF JACOB THAYSEN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 Jacob Thaysen, certify that:</w:t>
      </w:r>
    </w:p>
    <w:p>
      <w:pPr>
        <w:pStyle w:val="TextBody"/>
        <w:bidi w:val="0"/>
        <w:spacing w:before="120" w:after="283"/>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266"/>
        <w:gridCol w:w="869"/>
        <w:gridCol w:w="869"/>
        <w:gridCol w:w="2378"/>
        <w:gridCol w:w="1704"/>
        <w:gridCol w:w="24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Quarterly Report on Form 10-Q of Illumina,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6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July 31, 2026 </w:t>
      </w:r>
    </w:p>
    <w:tbl>
      <w:tblPr>
        <w:tblW w:w="3517" w:type="dxa"/>
        <w:jc w:val="left"/>
        <w:tblInd w:w="0" w:type="dxa"/>
        <w:tblLayout w:type="fixed"/>
        <w:tblCellMar>
          <w:top w:w="28" w:type="dxa"/>
          <w:left w:w="28" w:type="dxa"/>
          <w:bottom w:w="28" w:type="dxa"/>
          <w:right w:w="28" w:type="dxa"/>
        </w:tblCellMar>
      </w:tblPr>
      <w:tblGrid>
        <w:gridCol w:w="124"/>
        <w:gridCol w:w="109"/>
        <w:gridCol w:w="109"/>
        <w:gridCol w:w="223"/>
        <w:gridCol w:w="223"/>
        <w:gridCol w:w="228"/>
        <w:gridCol w:w="109"/>
        <w:gridCol w:w="109"/>
        <w:gridCol w:w="109"/>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JACOB THAYSEN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Jacob Thaysen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CERTIFICATION OF ANKUR DHINGRA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 Ankur Dhingra, certify that:</w:t>
      </w:r>
    </w:p>
    <w:p>
      <w:pPr>
        <w:pStyle w:val="TextBody"/>
        <w:bidi w:val="0"/>
        <w:spacing w:before="120" w:after="283"/>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95"/>
        <w:gridCol w:w="902"/>
        <w:gridCol w:w="902"/>
        <w:gridCol w:w="2442"/>
        <w:gridCol w:w="1774"/>
        <w:gridCol w:w="25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Quarterly Report on Form 10-Q of Illumina,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Dated: July 31, 2026 </w:t>
      </w:r>
    </w:p>
    <w:tbl>
      <w:tblPr>
        <w:tblW w:w="3457" w:type="dxa"/>
        <w:jc w:val="left"/>
        <w:tblInd w:w="0" w:type="dxa"/>
        <w:tblLayout w:type="fixed"/>
        <w:tblCellMar>
          <w:top w:w="28" w:type="dxa"/>
          <w:left w:w="28" w:type="dxa"/>
          <w:bottom w:w="28" w:type="dxa"/>
          <w:right w:w="28" w:type="dxa"/>
        </w:tblCellMar>
      </w:tblPr>
      <w:tblGrid>
        <w:gridCol w:w="124"/>
        <w:gridCol w:w="109"/>
        <w:gridCol w:w="109"/>
        <w:gridCol w:w="223"/>
        <w:gridCol w:w="223"/>
        <w:gridCol w:w="228"/>
        <w:gridCol w:w="109"/>
        <w:gridCol w:w="109"/>
        <w:gridCol w:w="109"/>
        <w:gridCol w:w="618"/>
        <w:gridCol w:w="618"/>
        <w:gridCol w:w="8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 ANKUR DHINGRA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Ankur Dhingra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CERTIFICATION OF JACOB THAYSEN PURSUANT TO 18 U.S.C. SECTION 1350, AS ADOPTED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of Illumina, Inc. (the “Company”) on Form 10-Q for the quarter ended June 28, 2026, as filed with the Securities and Exchange Commission on the date hereof (the “Report”), I, Jacob Thaysen,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Dated: July 31, 2026 </w:t>
      </w:r>
    </w:p>
    <w:tbl>
      <w:tblPr>
        <w:tblW w:w="3517" w:type="dxa"/>
        <w:jc w:val="left"/>
        <w:tblInd w:w="0" w:type="dxa"/>
        <w:tblLayout w:type="fixed"/>
        <w:tblCellMar>
          <w:top w:w="28" w:type="dxa"/>
          <w:left w:w="28" w:type="dxa"/>
          <w:bottom w:w="28" w:type="dxa"/>
          <w:right w:w="28" w:type="dxa"/>
        </w:tblCellMar>
      </w:tblPr>
      <w:tblGrid>
        <w:gridCol w:w="124"/>
        <w:gridCol w:w="109"/>
        <w:gridCol w:w="109"/>
        <w:gridCol w:w="223"/>
        <w:gridCol w:w="223"/>
        <w:gridCol w:w="228"/>
        <w:gridCol w:w="109"/>
        <w:gridCol w:w="109"/>
        <w:gridCol w:w="109"/>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JACOB THAYSEN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Jacob Thaysen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This certification accompanying the Report is not deemed filed with the Securities and Exchange Commission for purposes of Section 18 of the Securities Exchange Act of 1934, as amended, or otherwise subject to the liabilities of such Section, and is not to be incorporated by reference into any filing of the Company under the Securities Act of 1933, as amended, or the Securities Exchange Act of 1934, as amended (whether made before, on or after the date of the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 xml:space="preserve">CERTIFICATION OF ANKUR DHINGRA PURSUANT TO 18 U.S.C.SECTION 1350, AS ADOPTED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of Illumina, Inc. (the “Company”) on Form 10-Q for the quarter ended June 28, 2026, as filed with the Securities and Exchange Commission on the date hereof (the “Report”), I, Ankur Dhingra,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Dated: July 31, 2026 </w:t>
      </w:r>
    </w:p>
    <w:tbl>
      <w:tblPr>
        <w:tblW w:w="3428" w:type="dxa"/>
        <w:jc w:val="left"/>
        <w:tblInd w:w="0" w:type="dxa"/>
        <w:tblLayout w:type="fixed"/>
        <w:tblCellMar>
          <w:top w:w="28" w:type="dxa"/>
          <w:left w:w="28" w:type="dxa"/>
          <w:bottom w:w="28" w:type="dxa"/>
          <w:right w:w="28" w:type="dxa"/>
        </w:tblCellMar>
      </w:tblPr>
      <w:tblGrid>
        <w:gridCol w:w="124"/>
        <w:gridCol w:w="109"/>
        <w:gridCol w:w="109"/>
        <w:gridCol w:w="223"/>
        <w:gridCol w:w="223"/>
        <w:gridCol w:w="228"/>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ANKUR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Ankur Dhingra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This certification accompanying the Report is not deemed filed with the Securities and Exchange Commission for purposes of Section 18 of the Securities Exchange Act of 1934, as amended, or otherwise subject to the liabilities of such Section, and is not to be incorporated by reference into any filing of the Company under the Securities Act of 1933, as amended, or the Securities Exchange Act of 1934, as amended (whether made before, on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110803/000111080326000024/ilmn-20251228.htm" TargetMode="External"/><Relationship Id="rId4" Type="http://schemas.openxmlformats.org/officeDocument/2006/relationships/hyperlink" Target="https://www.sec.gov/ix?doc=/Archives/edgar/data/0001110803/000111080326000092/ilmn-20260329.htm" TargetMode="External"/><Relationship Id="rId5" Type="http://schemas.openxmlformats.org/officeDocument/2006/relationships/hyperlink" Target="https://www.sec.gov/ix?doc=/Archives/edgar/data/0001110803/000111080326000024/ilmn-20251228.htm" TargetMode="External"/><Relationship Id="rId6" Type="http://schemas.openxmlformats.org/officeDocument/2006/relationships/hyperlink" Target="https://www.sec.gov/ix?doc=/Archives/edgar/data/0001110803/000111080326000024/ilmn-20251228.htm" TargetMode="External"/><Relationship Id="rId7" Type="http://schemas.openxmlformats.org/officeDocument/2006/relationships/hyperlink" Target="https://www.sec.gov/Archives/edgar/data/1110803/000095015721000850/ex4-1.htm" TargetMode="External"/><Relationship Id="rId8" Type="http://schemas.openxmlformats.org/officeDocument/2006/relationships/hyperlink" Target="https://www.sec.gov/ix?doc=/Archives/edgar/data/0001110803/000111080326000024/ilmn-20251228.htm" TargetMode="External"/><Relationship Id="rId9" Type="http://schemas.openxmlformats.org/officeDocument/2006/relationships/hyperlink" Target="https://www.sec.gov/ix?doc=/Archives/edgar/data/0001110803/000111080325000046/ilmn-20250330.htm" TargetMode="External"/><Relationship Id="rId10" Type="http://schemas.openxmlformats.org/officeDocument/2006/relationships/hyperlink" Target="https://www.sec.gov/ix?doc=/Archives/edgar/data/0001110803/000111080326000024/ilmn-20251228.htm" TargetMode="External"/><Relationship Id="rId11" Type="http://schemas.openxmlformats.org/officeDocument/2006/relationships/hyperlink" Target="https://www.sec.gov/ix?doc=/Archives/edgar/data/0001110803/000111080326000024/ilmn-20251228.htm" TargetMode="External"/><Relationship Id="rId12" Type="http://schemas.openxmlformats.org/officeDocument/2006/relationships/hyperlink" Target="https://www.sec.gov/ix?doc=/Archives/edgar/data/0001110803/000111080326000024/ilmn-20251228.htm" TargetMode="External"/><Relationship Id="rId13" Type="http://schemas.openxmlformats.org/officeDocument/2006/relationships/hyperlink" Target="https://www.sec.gov/ix?doc=/Archives/edgar/data/0001110803/000111080326000024/ilmn-20251228.htm" TargetMode="External"/><Relationship Id="rId14" Type="http://schemas.openxmlformats.org/officeDocument/2006/relationships/hyperlink" Target="https://www.sec.gov/ix?doc=/Archives/edgar/data/0001110803/000111080326000024/ilmn-20251228.htm" TargetMode="External"/><Relationship Id="rId15" Type="http://schemas.openxmlformats.org/officeDocument/2006/relationships/hyperlink" Target="https://www.sec.gov/ix?doc=/Archives/edgar/data/0001110803/000111080326000092/ilmn-20260329.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20628</Words>
  <Characters>111807</Characters>
  <CharactersWithSpaces>130953</CharactersWithSpaces>
  <Paragraphs>2811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