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Meister Keith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5200 ILLUMINA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ILLUMINA,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ILMN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06/30/2026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142</w:t>
            </w: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149.1868</w:t>
            </w:r>
          </w:p>
        </w:tc>
        <w:tc>
          <w:tcPr>
            <w:tcW w:w="1180" w:type="dxa"/>
            <w:vAlign w:val="bottom"/>
            <w:tcBorders>
              <w:bottom w:val="single" w:sz="8" w:color="2C2C2C"/>
            </w:tcBorders>
            <w:gridSpan w:val="2"/>
          </w:tcPr>
          <w:p>
            <w:pPr>
              <w:jc w:val="right"/>
              <w:ind w:right="360"/>
              <w:spacing w:after="0"/>
              <w:rPr>
                <w:sz w:val="20"/>
                <w:szCs w:val="20"/>
                <w:color w:val="auto"/>
              </w:rPr>
            </w:pPr>
            <w:r>
              <w:rPr>
                <w:rFonts w:ascii="Times New Roman" w:cs="Times New Roman" w:eastAsia="Times New Roman" w:hAnsi="Times New Roman"/>
                <w:sz w:val="17"/>
                <w:szCs w:val="17"/>
                <w:color w:val="0000FF"/>
              </w:rPr>
              <w:t>6,780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2,830,452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Meister elected to receive 100% of his 2026 board and committee cash retainer fees in Illumina stock. The number of shares issued in lieu of cash is based on the quotient of (i) the cash compensation otherwise payable for the immediately completed quarter divided by (ii) the volume weighted average closing price per share during the immediately completed quarter, calculated by reference to each trading day during such quarter. The amount reported on this Form represents Mr. Meister's 2nd quarter 2026 retainer fees.</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of Illumina, Inc. are held for the accounts of certain private investment funds (collectively, the "Corvex Funds") for which Corvex Management LP ("Corvex") acts as investment adviser, including Corvex Master Fund LP and Corvex Select Equity Master Fund LP. The general partner of Corvex is controlled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 Maynes for Keith</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5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Meister</w:t>
            </w:r>
          </w:p>
        </w:tc>
        <w:tc>
          <w:tcPr>
            <w:tcW w:w="120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40" w:type="dxa"/>
            <w:vAlign w:val="bottom"/>
            <w:tcBorders>
              <w:top w:val="single" w:sz="8" w:color="auto"/>
              <w:bottom w:val="single" w:sz="8" w:color="auto"/>
            </w:tcBorders>
            <w:vMerge w:val="continue"/>
          </w:tcPr>
          <w:p>
            <w:pPr>
              <w:spacing w:after="0"/>
              <w:rPr>
                <w:sz w:val="7"/>
                <w:szCs w:val="7"/>
                <w:color w:val="auto"/>
              </w:rPr>
            </w:pPr>
          </w:p>
        </w:tc>
        <w:tc>
          <w:tcPr>
            <w:tcW w:w="120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1108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2026-07-02T17:27:09Z</dcterms:created>
  <dcterms:modified xsi:type="dcterms:W3CDTF">2026-07-02T17:27:09Z</dcterms:modified>
</cp:coreProperties>
</file>