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ILLUMINA,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001-35406</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8582024500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Corvex Management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Affiliate of Director (1)</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409"/>
        <w:gridCol w:w="1148"/>
        <w:gridCol w:w="1669"/>
        <w:gridCol w:w="1534"/>
        <w:gridCol w:w="1556"/>
        <w:gridCol w:w="1358"/>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669"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58"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 Stock, par value $0.01 per share</w:t>
            </w:r>
          </w:p>
        </w:tc>
        <w:tc>
          <w:tcPr>
            <w:tcW w:w="1409" w:type="dxa"/>
            <w:tcBorders/>
            <w:vAlign w:val="center"/>
          </w:tcPr>
          <w:p>
            <w:pPr>
              <w:pStyle w:val="TableContents"/>
              <w:bidi w:val="0"/>
              <w:spacing w:before="0" w:after="0"/>
              <w:jc w:val="left"/>
              <w:rPr/>
            </w:pPr>
            <w:r>
              <w:rPr/>
              <w:t>Goldman Sachs &amp; Co. LLC</w:t>
              <w:br/>
              <w:t>200 West Street</w:t>
              <w:br/>
              <w:t>New York   NY   10282</w:t>
            </w:r>
          </w:p>
        </w:tc>
        <w:tc>
          <w:tcPr>
            <w:tcW w:w="1148" w:type="dxa"/>
            <w:tcBorders/>
            <w:vAlign w:val="center"/>
          </w:tcPr>
          <w:p>
            <w:pPr>
              <w:pStyle w:val="TableContents"/>
              <w:bidi w:val="0"/>
              <w:spacing w:before="0" w:after="283"/>
              <w:jc w:val="left"/>
              <w:rPr/>
            </w:pPr>
            <w:r>
              <w:rPr/>
              <w:t>840000</w:t>
            </w:r>
          </w:p>
        </w:tc>
        <w:tc>
          <w:tcPr>
            <w:tcW w:w="1669" w:type="dxa"/>
            <w:tcBorders/>
            <w:vAlign w:val="center"/>
          </w:tcPr>
          <w:p>
            <w:pPr>
              <w:pStyle w:val="TableContents"/>
              <w:bidi w:val="0"/>
              <w:spacing w:before="0" w:after="283"/>
              <w:jc w:val="left"/>
              <w:rPr/>
            </w:pPr>
            <w:r>
              <w:rPr/>
              <w:t>166454400.00</w:t>
            </w:r>
          </w:p>
        </w:tc>
        <w:tc>
          <w:tcPr>
            <w:tcW w:w="1534" w:type="dxa"/>
            <w:tcBorders/>
            <w:vAlign w:val="center"/>
          </w:tcPr>
          <w:p>
            <w:pPr>
              <w:pStyle w:val="TableContents"/>
              <w:bidi w:val="0"/>
              <w:spacing w:before="0" w:after="283"/>
              <w:jc w:val="left"/>
              <w:rPr/>
            </w:pPr>
            <w:r>
              <w:rPr/>
              <w:t>151000000</w:t>
            </w:r>
          </w:p>
        </w:tc>
        <w:tc>
          <w:tcPr>
            <w:tcW w:w="1556" w:type="dxa"/>
            <w:tcBorders/>
            <w:vAlign w:val="center"/>
          </w:tcPr>
          <w:p>
            <w:pPr>
              <w:pStyle w:val="TableContents"/>
              <w:bidi w:val="0"/>
              <w:spacing w:before="0" w:after="283"/>
              <w:jc w:val="left"/>
              <w:rPr/>
            </w:pPr>
            <w:r>
              <w:rPr/>
              <w:t>08/04/2026</w:t>
            </w:r>
          </w:p>
        </w:tc>
        <w:tc>
          <w:tcPr>
            <w:tcW w:w="1358" w:type="dxa"/>
            <w:tcBorders/>
            <w:vAlign w:val="center"/>
          </w:tcPr>
          <w:p>
            <w:pPr>
              <w:pStyle w:val="TableContents"/>
              <w:bidi w:val="0"/>
              <w:spacing w:before="0" w:after="0"/>
              <w:jc w:val="left"/>
              <w:rPr/>
            </w:pPr>
            <w:r>
              <w:rPr/>
              <w:t>Nasdaq Global Select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7"/>
        <w:gridCol w:w="1112"/>
        <w:gridCol w:w="1447"/>
        <w:gridCol w:w="1517"/>
        <w:gridCol w:w="520"/>
        <w:gridCol w:w="1112"/>
        <w:gridCol w:w="1162"/>
        <w:gridCol w:w="1054"/>
        <w:gridCol w:w="1174"/>
      </w:tblGrid>
      <w:tr>
        <w:trPr/>
        <w:tc>
          <w:tcPr>
            <w:tcW w:w="1107" w:type="dxa"/>
            <w:tcBorders/>
            <w:vAlign w:val="center"/>
          </w:tcPr>
          <w:p>
            <w:pPr>
              <w:pStyle w:val="TableHeading"/>
              <w:suppressLineNumbers/>
              <w:bidi w:val="0"/>
              <w:spacing w:before="0" w:after="283"/>
              <w:jc w:val="center"/>
              <w:rPr/>
            </w:pPr>
            <w:r>
              <w:rPr/>
              <w:t>Title of the Class</w:t>
            </w:r>
          </w:p>
        </w:tc>
        <w:tc>
          <w:tcPr>
            <w:tcW w:w="1112"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7"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2"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7" w:type="dxa"/>
            <w:tcBorders/>
            <w:vAlign w:val="center"/>
          </w:tcPr>
          <w:p>
            <w:pPr>
              <w:pStyle w:val="TableContents"/>
              <w:bidi w:val="0"/>
              <w:spacing w:before="0" w:after="283"/>
              <w:jc w:val="left"/>
              <w:rPr/>
            </w:pPr>
            <w:r>
              <w:rPr/>
              <w:t>Common Stock, par value $0.01 per share</w:t>
            </w:r>
          </w:p>
        </w:tc>
        <w:tc>
          <w:tcPr>
            <w:tcW w:w="1112" w:type="dxa"/>
            <w:tcBorders/>
            <w:vAlign w:val="center"/>
          </w:tcPr>
          <w:p>
            <w:pPr>
              <w:pStyle w:val="TableContents"/>
              <w:bidi w:val="0"/>
              <w:spacing w:before="0" w:after="283"/>
              <w:jc w:val="left"/>
              <w:rPr/>
            </w:pPr>
            <w:r>
              <w:rPr/>
              <w:t>10/25/2023</w:t>
            </w:r>
          </w:p>
        </w:tc>
        <w:tc>
          <w:tcPr>
            <w:tcW w:w="1447" w:type="dxa"/>
            <w:tcBorders/>
            <w:vAlign w:val="center"/>
          </w:tcPr>
          <w:p>
            <w:pPr>
              <w:pStyle w:val="TableContents"/>
              <w:bidi w:val="0"/>
              <w:spacing w:before="0" w:after="283"/>
              <w:jc w:val="left"/>
              <w:rPr/>
            </w:pPr>
            <w:r>
              <w:rPr/>
              <w:t>Purchases of shares of Common Stock in the open market (2)</w:t>
            </w:r>
          </w:p>
        </w:tc>
        <w:tc>
          <w:tcPr>
            <w:tcW w:w="1517"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840000</w:t>
            </w:r>
          </w:p>
        </w:tc>
        <w:tc>
          <w:tcPr>
            <w:tcW w:w="1054" w:type="dxa"/>
            <w:tcBorders/>
            <w:vAlign w:val="center"/>
          </w:tcPr>
          <w:p>
            <w:pPr>
              <w:pStyle w:val="TableContents"/>
              <w:bidi w:val="0"/>
              <w:spacing w:before="0" w:after="283"/>
              <w:jc w:val="left"/>
              <w:rPr/>
            </w:pPr>
            <w:r>
              <w:rPr/>
              <w:t>10/25/2023</w:t>
            </w:r>
          </w:p>
        </w:tc>
        <w:tc>
          <w:tcPr>
            <w:tcW w:w="117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9"/>
        <w:gridCol w:w="922"/>
        <w:gridCol w:w="1531"/>
        <w:gridCol w:w="1897"/>
      </w:tblGrid>
      <w:tr>
        <w:trPr/>
        <w:tc>
          <w:tcPr>
            <w:tcW w:w="3026" w:type="dxa"/>
            <w:tcBorders/>
            <w:vAlign w:val="center"/>
          </w:tcPr>
          <w:p>
            <w:pPr>
              <w:pStyle w:val="TableHeading"/>
              <w:suppressLineNumbers/>
              <w:bidi w:val="0"/>
              <w:spacing w:before="0" w:after="283"/>
              <w:jc w:val="center"/>
              <w:rPr/>
            </w:pPr>
            <w:r>
              <w:rPr/>
              <w:t>Name and Address of Seller</w:t>
            </w:r>
          </w:p>
        </w:tc>
        <w:tc>
          <w:tcPr>
            <w:tcW w:w="2829"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7"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225067</w:t>
            </w:r>
          </w:p>
        </w:tc>
        <w:tc>
          <w:tcPr>
            <w:tcW w:w="1897" w:type="dxa"/>
            <w:tcBorders/>
            <w:vAlign w:val="center"/>
          </w:tcPr>
          <w:p>
            <w:pPr>
              <w:pStyle w:val="TableContents"/>
              <w:bidi w:val="0"/>
              <w:spacing w:before="0" w:after="283"/>
              <w:jc w:val="left"/>
              <w:rPr/>
            </w:pPr>
            <w:r>
              <w:rPr/>
              <w:t>32760165.38</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05/14/2026</w:t>
            </w:r>
          </w:p>
        </w:tc>
        <w:tc>
          <w:tcPr>
            <w:tcW w:w="1531" w:type="dxa"/>
            <w:tcBorders/>
            <w:vAlign w:val="center"/>
          </w:tcPr>
          <w:p>
            <w:pPr>
              <w:pStyle w:val="TableContents"/>
              <w:bidi w:val="0"/>
              <w:spacing w:before="0" w:after="283"/>
              <w:jc w:val="left"/>
              <w:rPr/>
            </w:pPr>
            <w:r>
              <w:rPr/>
              <w:t>104393</w:t>
            </w:r>
          </w:p>
        </w:tc>
        <w:tc>
          <w:tcPr>
            <w:tcW w:w="1897" w:type="dxa"/>
            <w:tcBorders/>
            <w:vAlign w:val="center"/>
          </w:tcPr>
          <w:p>
            <w:pPr>
              <w:pStyle w:val="TableContents"/>
              <w:bidi w:val="0"/>
              <w:spacing w:before="0" w:after="283"/>
              <w:jc w:val="left"/>
              <w:rPr/>
            </w:pPr>
            <w:r>
              <w:rPr/>
              <w:t>15172549.18</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220000</w:t>
            </w:r>
          </w:p>
        </w:tc>
        <w:tc>
          <w:tcPr>
            <w:tcW w:w="1897" w:type="dxa"/>
            <w:tcBorders/>
            <w:vAlign w:val="center"/>
          </w:tcPr>
          <w:p>
            <w:pPr>
              <w:pStyle w:val="TableContents"/>
              <w:bidi w:val="0"/>
              <w:spacing w:before="0" w:after="283"/>
              <w:jc w:val="left"/>
              <w:rPr/>
            </w:pPr>
            <w:r>
              <w:rPr/>
              <w:t>34686783.32</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05/29/2026</w:t>
            </w:r>
          </w:p>
        </w:tc>
        <w:tc>
          <w:tcPr>
            <w:tcW w:w="1531" w:type="dxa"/>
            <w:tcBorders/>
            <w:vAlign w:val="center"/>
          </w:tcPr>
          <w:p>
            <w:pPr>
              <w:pStyle w:val="TableContents"/>
              <w:bidi w:val="0"/>
              <w:spacing w:before="0" w:after="283"/>
              <w:jc w:val="left"/>
              <w:rPr/>
            </w:pPr>
            <w:r>
              <w:rPr/>
              <w:t>214596</w:t>
            </w:r>
          </w:p>
        </w:tc>
        <w:tc>
          <w:tcPr>
            <w:tcW w:w="1897" w:type="dxa"/>
            <w:tcBorders/>
            <w:vAlign w:val="center"/>
          </w:tcPr>
          <w:p>
            <w:pPr>
              <w:pStyle w:val="TableContents"/>
              <w:bidi w:val="0"/>
              <w:spacing w:before="0" w:after="283"/>
              <w:jc w:val="left"/>
              <w:rPr/>
            </w:pPr>
            <w:r>
              <w:rPr/>
              <w:t>35088672.43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06/01/2026</w:t>
            </w:r>
          </w:p>
        </w:tc>
        <w:tc>
          <w:tcPr>
            <w:tcW w:w="1531" w:type="dxa"/>
            <w:tcBorders/>
            <w:vAlign w:val="center"/>
          </w:tcPr>
          <w:p>
            <w:pPr>
              <w:pStyle w:val="TableContents"/>
              <w:bidi w:val="0"/>
              <w:spacing w:before="0" w:after="283"/>
              <w:jc w:val="left"/>
              <w:rPr/>
            </w:pPr>
            <w:r>
              <w:rPr/>
              <w:t>235000</w:t>
            </w:r>
          </w:p>
        </w:tc>
        <w:tc>
          <w:tcPr>
            <w:tcW w:w="1897" w:type="dxa"/>
            <w:tcBorders/>
            <w:vAlign w:val="center"/>
          </w:tcPr>
          <w:p>
            <w:pPr>
              <w:pStyle w:val="TableContents"/>
              <w:bidi w:val="0"/>
              <w:spacing w:before="0" w:after="283"/>
              <w:jc w:val="left"/>
              <w:rPr/>
            </w:pPr>
            <w:r>
              <w:rPr/>
              <w:t>38454606.87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Remarks</w:t>
            </w:r>
          </w:p>
        </w:tc>
        <w:tc>
          <w:tcPr>
            <w:tcW w:w="9074" w:type="dxa"/>
            <w:tcBorders/>
            <w:vAlign w:val="center"/>
          </w:tcPr>
          <w:p>
            <w:pPr>
              <w:pStyle w:val="TableContents"/>
              <w:bidi w:val="0"/>
              <w:spacing w:before="0" w:after="0"/>
              <w:jc w:val="left"/>
              <w:rPr/>
            </w:pPr>
            <w:r>
              <w:rPr/>
              <w:t>1. Corvex Management LP (Corvex) may be deemed to be the beneficial owner of shares of Common Stock (Common Stock) of Illumina, Inc. (the Issuer) held by one or more funds for which Corvex serves as investment adviser. The general partner of Corvex is controlled by Keith Meister, who serves as a director on the Board of Directors of the Issuer. 2. Shares of Common Stock to be sold were purchased between October 25, 2023 and March 27, 2025 in various open market transactions.</w:t>
            </w:r>
          </w:p>
        </w:tc>
      </w:tr>
      <w:tr>
        <w:trPr/>
        <w:tc>
          <w:tcPr>
            <w:tcW w:w="1131" w:type="dxa"/>
            <w:tcBorders/>
            <w:vAlign w:val="center"/>
          </w:tcPr>
          <w:p>
            <w:pPr>
              <w:pStyle w:val="TableContents"/>
              <w:bidi w:val="0"/>
              <w:spacing w:before="0" w:after="283"/>
              <w:jc w:val="left"/>
              <w:rPr/>
            </w:pPr>
            <w:r>
              <w:rPr/>
              <w:t>Date of Notice</w:t>
            </w:r>
          </w:p>
        </w:tc>
        <w:tc>
          <w:tcPr>
            <w:tcW w:w="9074"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1" w:type="dxa"/>
            <w:tcBorders/>
            <w:vAlign w:val="center"/>
          </w:tcPr>
          <w:p>
            <w:pPr>
              <w:pStyle w:val="TableContents"/>
              <w:bidi w:val="0"/>
              <w:spacing w:before="0" w:after="283"/>
              <w:jc w:val="left"/>
              <w:rPr/>
            </w:pPr>
            <w:r>
              <w:rPr/>
              <w:t>Signature</w:t>
            </w:r>
          </w:p>
        </w:tc>
        <w:tc>
          <w:tcPr>
            <w:tcW w:w="9074" w:type="dxa"/>
            <w:tcBorders/>
            <w:vAlign w:val="center"/>
          </w:tcPr>
          <w:p>
            <w:pPr>
              <w:pStyle w:val="TableContents"/>
              <w:bidi w:val="0"/>
              <w:spacing w:before="0" w:after="0"/>
              <w:jc w:val="left"/>
              <w:rPr/>
            </w:pPr>
            <w:r>
              <w:rPr/>
              <w:t>/s/ Patrick Dooley, authorized signatory of Corvex Management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812</Words>
  <Characters>4083</Characters>
  <CharactersWithSpaces>4831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